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D2" w:rsidRPr="003B5D3E" w:rsidRDefault="00B27B34" w:rsidP="003B5D3E">
      <w:pPr>
        <w:pStyle w:val="11"/>
        <w:jc w:val="center"/>
        <w:rPr>
          <w:rFonts w:ascii="Arial, Helvetica, sans-serif" w:hAnsi="Arial, Helvetica, sans-serif" w:hint="eastAsia"/>
          <w:color w:val="4D4D4D"/>
          <w:sz w:val="32"/>
          <w:szCs w:val="32"/>
        </w:rPr>
      </w:pPr>
      <w:proofErr w:type="spellStart"/>
      <w:r w:rsidRPr="003B5D3E">
        <w:rPr>
          <w:rFonts w:ascii="Arial, Helvetica, sans-serif" w:hAnsi="Arial, Helvetica, sans-serif"/>
          <w:color w:val="4D4D4D"/>
          <w:sz w:val="32"/>
          <w:szCs w:val="32"/>
        </w:rPr>
        <w:t>Ответственность</w:t>
      </w:r>
      <w:proofErr w:type="spellEnd"/>
      <w:r w:rsidRPr="003B5D3E">
        <w:rPr>
          <w:rFonts w:ascii="Arial, Helvetica, sans-serif" w:hAnsi="Arial, Helvetica, sans-serif"/>
          <w:color w:val="4D4D4D"/>
          <w:sz w:val="32"/>
          <w:szCs w:val="32"/>
        </w:rPr>
        <w:t xml:space="preserve"> </w:t>
      </w:r>
      <w:proofErr w:type="spellStart"/>
      <w:r w:rsidRPr="003B5D3E">
        <w:rPr>
          <w:rFonts w:ascii="Arial, Helvetica, sans-serif" w:hAnsi="Arial, Helvetica, sans-serif"/>
          <w:color w:val="4D4D4D"/>
          <w:sz w:val="32"/>
          <w:szCs w:val="32"/>
        </w:rPr>
        <w:t>за</w:t>
      </w:r>
      <w:proofErr w:type="spellEnd"/>
      <w:r w:rsidRPr="003B5D3E">
        <w:rPr>
          <w:rFonts w:ascii="Arial, Helvetica, sans-serif" w:hAnsi="Arial, Helvetica, sans-serif"/>
          <w:color w:val="4D4D4D"/>
          <w:sz w:val="32"/>
          <w:szCs w:val="32"/>
        </w:rPr>
        <w:t xml:space="preserve"> </w:t>
      </w:r>
      <w:proofErr w:type="spellStart"/>
      <w:r w:rsidRPr="003B5D3E">
        <w:rPr>
          <w:rFonts w:ascii="Arial, Helvetica, sans-serif" w:hAnsi="Arial, Helvetica, sans-serif"/>
          <w:color w:val="4D4D4D"/>
          <w:sz w:val="32"/>
          <w:szCs w:val="32"/>
        </w:rPr>
        <w:t>нарушение</w:t>
      </w:r>
      <w:proofErr w:type="spellEnd"/>
      <w:r w:rsidRPr="003B5D3E">
        <w:rPr>
          <w:rFonts w:ascii="Arial, Helvetica, sans-serif" w:hAnsi="Arial, Helvetica, sans-serif"/>
          <w:color w:val="4D4D4D"/>
          <w:sz w:val="32"/>
          <w:szCs w:val="32"/>
        </w:rPr>
        <w:t xml:space="preserve"> </w:t>
      </w:r>
      <w:proofErr w:type="spellStart"/>
      <w:r w:rsidRPr="003B5D3E">
        <w:rPr>
          <w:rFonts w:ascii="Arial, Helvetica, sans-serif" w:hAnsi="Arial, Helvetica, sans-serif"/>
          <w:color w:val="4D4D4D"/>
          <w:sz w:val="32"/>
          <w:szCs w:val="32"/>
        </w:rPr>
        <w:t>закона</w:t>
      </w:r>
      <w:proofErr w:type="spellEnd"/>
      <w:r w:rsidRPr="003B5D3E">
        <w:rPr>
          <w:rFonts w:ascii="Arial, Helvetica, sans-serif" w:hAnsi="Arial, Helvetica, sans-serif"/>
          <w:color w:val="4D4D4D"/>
          <w:sz w:val="32"/>
          <w:szCs w:val="32"/>
        </w:rPr>
        <w:t xml:space="preserve"> о </w:t>
      </w:r>
      <w:proofErr w:type="spellStart"/>
      <w:r w:rsidRPr="003B5D3E">
        <w:rPr>
          <w:rFonts w:ascii="Arial, Helvetica, sans-serif" w:hAnsi="Arial, Helvetica, sans-serif"/>
          <w:color w:val="4D4D4D"/>
          <w:sz w:val="32"/>
          <w:szCs w:val="32"/>
        </w:rPr>
        <w:t>персональных</w:t>
      </w:r>
      <w:proofErr w:type="spellEnd"/>
      <w:r w:rsidRPr="003B5D3E">
        <w:rPr>
          <w:rFonts w:ascii="Arial, Helvetica, sans-serif" w:hAnsi="Arial, Helvetica, sans-serif"/>
          <w:color w:val="4D4D4D"/>
          <w:sz w:val="32"/>
          <w:szCs w:val="32"/>
        </w:rPr>
        <w:t xml:space="preserve"> </w:t>
      </w:r>
      <w:proofErr w:type="spellStart"/>
      <w:r w:rsidRPr="003B5D3E">
        <w:rPr>
          <w:rFonts w:ascii="Arial, Helvetica, sans-serif" w:hAnsi="Arial, Helvetica, sans-serif"/>
          <w:color w:val="4D4D4D"/>
          <w:sz w:val="32"/>
          <w:szCs w:val="32"/>
        </w:rPr>
        <w:t>данных</w:t>
      </w:r>
      <w:bookmarkStart w:id="0" w:name="_GoBack"/>
      <w:bookmarkEnd w:id="0"/>
      <w:proofErr w:type="spellEnd"/>
    </w:p>
    <w:p w:rsidR="00C008D2" w:rsidRDefault="00B27B34" w:rsidP="003B5D3E">
      <w:pPr>
        <w:pStyle w:val="Textbody"/>
        <w:widowControl/>
        <w:spacing w:after="255" w:line="270" w:lineRule="atLeast"/>
        <w:ind w:firstLine="706"/>
        <w:jc w:val="both"/>
      </w:pPr>
      <w:proofErr w:type="spellStart"/>
      <w:r>
        <w:rPr>
          <w:rFonts w:ascii="Arial, Helvetica, sans-serif" w:hAnsi="Arial, Helvetica, sans-serif"/>
          <w:color w:val="333333"/>
          <w:sz w:val="22"/>
        </w:rPr>
        <w:t>Лицам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,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нарушившим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требования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> </w:t>
      </w:r>
      <w:proofErr w:type="spellStart"/>
      <w:r w:rsidR="0090611D">
        <w:fldChar w:fldCharType="begin"/>
      </w:r>
      <w:r w:rsidR="00C008D2">
        <w:instrText xml:space="preserve"> HYPERLINK  "http://base.garant.ru/12148567/" </w:instrText>
      </w:r>
      <w:r w:rsidR="0090611D">
        <w:fldChar w:fldCharType="separate"/>
      </w:r>
      <w:r>
        <w:rPr>
          <w:rFonts w:ascii="Arial, Helvetica, sans-serif" w:hAnsi="Arial, Helvetica, sans-serif"/>
          <w:color w:val="808080"/>
          <w:sz w:val="22"/>
          <w:u w:val="single"/>
        </w:rPr>
        <w:t>закона</w:t>
      </w:r>
      <w:proofErr w:type="spellEnd"/>
      <w:r>
        <w:rPr>
          <w:rFonts w:ascii="Arial, Helvetica, sans-serif" w:hAnsi="Arial, Helvetica, sans-serif"/>
          <w:color w:val="808080"/>
          <w:sz w:val="22"/>
          <w:u w:val="single"/>
        </w:rPr>
        <w:t xml:space="preserve"> о </w:t>
      </w:r>
      <w:proofErr w:type="spellStart"/>
      <w:r>
        <w:rPr>
          <w:rFonts w:ascii="Arial, Helvetica, sans-serif" w:hAnsi="Arial, Helvetica, sans-serif"/>
          <w:color w:val="808080"/>
          <w:sz w:val="22"/>
          <w:u w:val="single"/>
        </w:rPr>
        <w:t>персональных</w:t>
      </w:r>
      <w:proofErr w:type="spellEnd"/>
      <w:r>
        <w:rPr>
          <w:rFonts w:ascii="Arial, Helvetica, sans-serif" w:hAnsi="Arial, Helvetica, sans-serif"/>
          <w:color w:val="808080"/>
          <w:sz w:val="22"/>
          <w:u w:val="single"/>
        </w:rPr>
        <w:t xml:space="preserve"> </w:t>
      </w:r>
      <w:proofErr w:type="spellStart"/>
      <w:r>
        <w:rPr>
          <w:rFonts w:ascii="Arial, Helvetica, sans-serif" w:hAnsi="Arial, Helvetica, sans-serif"/>
          <w:color w:val="808080"/>
          <w:sz w:val="22"/>
          <w:u w:val="single"/>
        </w:rPr>
        <w:t>данных</w:t>
      </w:r>
      <w:proofErr w:type="spellEnd"/>
      <w:r w:rsidR="0090611D">
        <w:fldChar w:fldCharType="end"/>
      </w:r>
      <w:r>
        <w:rPr>
          <w:rFonts w:ascii="Arial, Helvetica, sans-serif" w:hAnsi="Arial, Helvetica, sans-serif"/>
          <w:color w:val="333333"/>
          <w:sz w:val="22"/>
        </w:rPr>
        <w:t xml:space="preserve">, в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зависимости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от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конкретных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обстоятельств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и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серьезности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деяния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может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грозить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не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только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административная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и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уголовная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ответственность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,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но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также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гражданско-правовая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и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даже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дисциплинарная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(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таблица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1).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При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этом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административная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ответственность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с 1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июля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2017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года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ужесточилась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–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вместо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одного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состава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правонарушения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> </w:t>
      </w:r>
      <w:proofErr w:type="spellStart"/>
      <w:r w:rsidR="0090611D">
        <w:fldChar w:fldCharType="begin"/>
      </w:r>
      <w:r w:rsidR="00C008D2">
        <w:instrText xml:space="preserve"> HYPERLINK  "http://base.garant.ru/12125267/13/#block_1311" </w:instrText>
      </w:r>
      <w:r w:rsidR="0090611D">
        <w:fldChar w:fldCharType="separate"/>
      </w:r>
      <w:r>
        <w:rPr>
          <w:rFonts w:ascii="Arial, Helvetica, sans-serif" w:hAnsi="Arial, Helvetica, sans-serif"/>
          <w:color w:val="808080"/>
          <w:sz w:val="22"/>
          <w:u w:val="single"/>
        </w:rPr>
        <w:t>ст</w:t>
      </w:r>
      <w:proofErr w:type="spellEnd"/>
      <w:r>
        <w:rPr>
          <w:rFonts w:ascii="Arial, Helvetica, sans-serif" w:hAnsi="Arial, Helvetica, sans-serif"/>
          <w:color w:val="808080"/>
          <w:sz w:val="22"/>
          <w:u w:val="single"/>
        </w:rPr>
        <w:t xml:space="preserve">. 13.11 </w:t>
      </w:r>
      <w:proofErr w:type="spellStart"/>
      <w:r>
        <w:rPr>
          <w:rFonts w:ascii="Arial, Helvetica, sans-serif" w:hAnsi="Arial, Helvetica, sans-serif"/>
          <w:color w:val="808080"/>
          <w:sz w:val="22"/>
          <w:u w:val="single"/>
        </w:rPr>
        <w:t>КоАП</w:t>
      </w:r>
      <w:proofErr w:type="spellEnd"/>
      <w:r>
        <w:rPr>
          <w:rFonts w:ascii="Arial, Helvetica, sans-serif" w:hAnsi="Arial, Helvetica, sans-serif"/>
          <w:color w:val="808080"/>
          <w:sz w:val="22"/>
          <w:u w:val="single"/>
        </w:rPr>
        <w:t xml:space="preserve"> РФ</w:t>
      </w:r>
      <w:r w:rsidR="0090611D">
        <w:fldChar w:fldCharType="end"/>
      </w:r>
      <w:r>
        <w:rPr>
          <w:rFonts w:ascii="Arial, Helvetica, sans-serif" w:hAnsi="Arial, Helvetica, sans-serif"/>
          <w:color w:val="333333"/>
          <w:sz w:val="22"/>
        </w:rPr>
        <w:t> 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теперь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предусматривает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семь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, а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максимальный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штраф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составляет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 75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тыс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 xml:space="preserve">. </w:t>
      </w:r>
      <w:proofErr w:type="spellStart"/>
      <w:r>
        <w:rPr>
          <w:rFonts w:ascii="Arial, Helvetica, sans-serif" w:hAnsi="Arial, Helvetica, sans-serif"/>
          <w:color w:val="333333"/>
          <w:sz w:val="22"/>
        </w:rPr>
        <w:t>руб</w:t>
      </w:r>
      <w:proofErr w:type="spellEnd"/>
      <w:r>
        <w:rPr>
          <w:rFonts w:ascii="Arial, Helvetica, sans-serif" w:hAnsi="Arial, Helvetica, sans-serif"/>
          <w:color w:val="333333"/>
          <w:sz w:val="22"/>
        </w:rPr>
        <w:t>.</w:t>
      </w:r>
    </w:p>
    <w:p w:rsidR="00C008D2" w:rsidRDefault="00B27B34">
      <w:pPr>
        <w:pStyle w:val="Textbody"/>
        <w:widowControl/>
        <w:spacing w:after="255" w:line="270" w:lineRule="atLeast"/>
        <w:jc w:val="right"/>
      </w:pPr>
      <w:proofErr w:type="spellStart"/>
      <w:r>
        <w:rPr>
          <w:rStyle w:val="a4"/>
          <w:rFonts w:ascii="Arial, Helvetica, sans-serif" w:hAnsi="Arial, Helvetica, sans-serif"/>
          <w:color w:val="333333"/>
          <w:sz w:val="22"/>
        </w:rPr>
        <w:t>Таблица</w:t>
      </w:r>
      <w:proofErr w:type="spellEnd"/>
      <w:r>
        <w:rPr>
          <w:rStyle w:val="a4"/>
          <w:rFonts w:ascii="Arial, Helvetica, sans-serif" w:hAnsi="Arial, Helvetica, sans-serif"/>
          <w:color w:val="333333"/>
          <w:sz w:val="22"/>
        </w:rPr>
        <w:t xml:space="preserve"> 1. "</w:t>
      </w:r>
      <w:proofErr w:type="spellStart"/>
      <w:r>
        <w:rPr>
          <w:rStyle w:val="a4"/>
          <w:rFonts w:ascii="Arial, Helvetica, sans-serif" w:hAnsi="Arial, Helvetica, sans-serif"/>
          <w:color w:val="333333"/>
          <w:sz w:val="22"/>
        </w:rPr>
        <w:t>Виды</w:t>
      </w:r>
      <w:proofErr w:type="spellEnd"/>
      <w:r>
        <w:rPr>
          <w:rStyle w:val="a4"/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Style w:val="a4"/>
          <w:rFonts w:ascii="Arial, Helvetica, sans-serif" w:hAnsi="Arial, Helvetica, sans-serif"/>
          <w:color w:val="333333"/>
          <w:sz w:val="22"/>
        </w:rPr>
        <w:t>ответственности</w:t>
      </w:r>
      <w:proofErr w:type="spellEnd"/>
      <w:r>
        <w:rPr>
          <w:rStyle w:val="a4"/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Style w:val="a4"/>
          <w:rFonts w:ascii="Arial, Helvetica, sans-serif" w:hAnsi="Arial, Helvetica, sans-serif"/>
          <w:color w:val="333333"/>
          <w:sz w:val="22"/>
        </w:rPr>
        <w:t>за</w:t>
      </w:r>
      <w:proofErr w:type="spellEnd"/>
      <w:r>
        <w:rPr>
          <w:rStyle w:val="a4"/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Style w:val="a4"/>
          <w:rFonts w:ascii="Arial, Helvetica, sans-serif" w:hAnsi="Arial, Helvetica, sans-serif"/>
          <w:color w:val="333333"/>
          <w:sz w:val="22"/>
        </w:rPr>
        <w:t>нарушение</w:t>
      </w:r>
      <w:proofErr w:type="spellEnd"/>
      <w:r>
        <w:rPr>
          <w:rStyle w:val="a4"/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Style w:val="a4"/>
          <w:rFonts w:ascii="Arial, Helvetica, sans-serif" w:hAnsi="Arial, Helvetica, sans-serif"/>
          <w:color w:val="333333"/>
          <w:sz w:val="22"/>
        </w:rPr>
        <w:t>закона</w:t>
      </w:r>
      <w:proofErr w:type="spellEnd"/>
      <w:r>
        <w:rPr>
          <w:rStyle w:val="a4"/>
          <w:rFonts w:ascii="Arial, Helvetica, sans-serif" w:hAnsi="Arial, Helvetica, sans-serif"/>
          <w:color w:val="333333"/>
          <w:sz w:val="22"/>
        </w:rPr>
        <w:t xml:space="preserve"> о </w:t>
      </w:r>
      <w:proofErr w:type="spellStart"/>
      <w:r>
        <w:rPr>
          <w:rStyle w:val="a4"/>
          <w:rFonts w:ascii="Arial, Helvetica, sans-serif" w:hAnsi="Arial, Helvetica, sans-serif"/>
          <w:color w:val="333333"/>
          <w:sz w:val="22"/>
        </w:rPr>
        <w:t>персональных</w:t>
      </w:r>
      <w:proofErr w:type="spellEnd"/>
      <w:r>
        <w:rPr>
          <w:rStyle w:val="a4"/>
          <w:rFonts w:ascii="Arial, Helvetica, sans-serif" w:hAnsi="Arial, Helvetica, sans-serif"/>
          <w:color w:val="333333"/>
          <w:sz w:val="22"/>
        </w:rPr>
        <w:t xml:space="preserve"> </w:t>
      </w:r>
      <w:proofErr w:type="spellStart"/>
      <w:r>
        <w:rPr>
          <w:rStyle w:val="a4"/>
          <w:rFonts w:ascii="Arial, Helvetica, sans-serif" w:hAnsi="Arial, Helvetica, sans-serif"/>
          <w:color w:val="333333"/>
          <w:sz w:val="22"/>
        </w:rPr>
        <w:t>данных</w:t>
      </w:r>
      <w:proofErr w:type="spellEnd"/>
    </w:p>
    <w:p w:rsidR="00C008D2" w:rsidRDefault="00C008D2">
      <w:pPr>
        <w:pStyle w:val="Standard"/>
      </w:pPr>
    </w:p>
    <w:tbl>
      <w:tblPr>
        <w:tblW w:w="9884" w:type="dxa"/>
        <w:tblInd w:w="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3119"/>
        <w:gridCol w:w="3504"/>
        <w:gridCol w:w="1550"/>
      </w:tblGrid>
      <w:tr w:rsidR="00C008D2" w:rsidTr="003B5D3E"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5D3E" w:rsidRDefault="00B27B34" w:rsidP="003B5D3E">
            <w:pPr>
              <w:pStyle w:val="TableContents"/>
              <w:spacing w:line="270" w:lineRule="atLeast"/>
              <w:jc w:val="center"/>
              <w:rPr>
                <w:rStyle w:val="StrongEmphasis"/>
                <w:sz w:val="22"/>
                <w:lang w:val="ru-RU"/>
              </w:rPr>
            </w:pPr>
            <w:proofErr w:type="spellStart"/>
            <w:r>
              <w:rPr>
                <w:rStyle w:val="StrongEmphasis"/>
                <w:sz w:val="22"/>
              </w:rPr>
              <w:t>Вид</w:t>
            </w:r>
            <w:proofErr w:type="spellEnd"/>
            <w:r>
              <w:rPr>
                <w:rStyle w:val="StrongEmphasis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sz w:val="22"/>
              </w:rPr>
              <w:t>ответственнос</w:t>
            </w:r>
            <w:proofErr w:type="spellEnd"/>
          </w:p>
          <w:p w:rsidR="00C008D2" w:rsidRDefault="00B27B34" w:rsidP="003B5D3E">
            <w:pPr>
              <w:pStyle w:val="TableContents"/>
              <w:jc w:val="center"/>
            </w:pPr>
            <w:proofErr w:type="spellStart"/>
            <w:r>
              <w:rPr>
                <w:rStyle w:val="StrongEmphasis"/>
                <w:sz w:val="22"/>
              </w:rPr>
              <w:t>ти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jc w:val="center"/>
            </w:pPr>
            <w:proofErr w:type="spellStart"/>
            <w:r>
              <w:rPr>
                <w:rStyle w:val="StrongEmphasis"/>
                <w:sz w:val="22"/>
              </w:rPr>
              <w:t>Нарушение</w:t>
            </w:r>
            <w:proofErr w:type="spellEnd"/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jc w:val="center"/>
            </w:pPr>
            <w:proofErr w:type="spellStart"/>
            <w:r>
              <w:rPr>
                <w:rStyle w:val="StrongEmphasis"/>
                <w:sz w:val="22"/>
              </w:rPr>
              <w:t>Санкция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jc w:val="center"/>
            </w:pPr>
            <w:proofErr w:type="spellStart"/>
            <w:r>
              <w:rPr>
                <w:rStyle w:val="StrongEmphasis"/>
                <w:sz w:val="22"/>
              </w:rPr>
              <w:t>Норма</w:t>
            </w:r>
            <w:proofErr w:type="spellEnd"/>
          </w:p>
        </w:tc>
      </w:tr>
      <w:tr w:rsidR="00C008D2" w:rsidTr="003B5D3E">
        <w:tc>
          <w:tcPr>
            <w:tcW w:w="17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Административная</w:t>
            </w:r>
            <w:proofErr w:type="spellEnd"/>
          </w:p>
          <w:p w:rsidR="00C008D2" w:rsidRDefault="00B27B34">
            <w:pPr>
              <w:pStyle w:val="TableContents"/>
              <w:spacing w:after="255" w:line="270" w:lineRule="atLeast"/>
            </w:pPr>
            <w:r>
              <w:t> </w:t>
            </w:r>
          </w:p>
          <w:p w:rsidR="00C008D2" w:rsidRDefault="00B27B34">
            <w:pPr>
              <w:pStyle w:val="TableContents"/>
              <w:spacing w:after="255" w:line="270" w:lineRule="atLeast"/>
            </w:pPr>
            <w:r>
              <w:t> </w:t>
            </w:r>
          </w:p>
          <w:p w:rsidR="00C008D2" w:rsidRDefault="00B27B34">
            <w:pPr>
              <w:pStyle w:val="TableContents"/>
              <w:spacing w:after="255" w:line="270" w:lineRule="atLeast"/>
            </w:pPr>
            <w:r>
              <w:t> </w:t>
            </w:r>
          </w:p>
          <w:p w:rsidR="00C008D2" w:rsidRDefault="00B27B34">
            <w:pPr>
              <w:pStyle w:val="TableContents"/>
              <w:spacing w:after="255" w:line="270" w:lineRule="atLeast"/>
            </w:pPr>
            <w:r>
              <w:t> </w:t>
            </w:r>
          </w:p>
          <w:p w:rsidR="00C008D2" w:rsidRDefault="00B27B34">
            <w:pPr>
              <w:pStyle w:val="TableContents"/>
              <w:spacing w:after="255" w:line="270" w:lineRule="atLeast"/>
            </w:pPr>
            <w:r>
              <w:t> </w:t>
            </w:r>
          </w:p>
          <w:p w:rsidR="00C008D2" w:rsidRDefault="00B27B34">
            <w:pPr>
              <w:pStyle w:val="TableContents"/>
              <w:spacing w:after="255" w:line="270" w:lineRule="atLeast"/>
            </w:pPr>
            <w:r>
              <w:t> </w:t>
            </w:r>
          </w:p>
          <w:p w:rsidR="00C008D2" w:rsidRDefault="00B27B34">
            <w:pPr>
              <w:pStyle w:val="TableContents"/>
              <w:spacing w:after="255" w:line="270" w:lineRule="atLeast"/>
            </w:pPr>
            <w:r>
              <w:t> </w:t>
            </w:r>
          </w:p>
          <w:p w:rsidR="00C008D2" w:rsidRDefault="00B27B34">
            <w:pPr>
              <w:pStyle w:val="TableContents"/>
              <w:spacing w:after="255" w:line="270" w:lineRule="atLeast"/>
              <w:jc w:val="center"/>
            </w:pPr>
            <w:r>
              <w:t> 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Неправомерный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отказ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предоставлении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гражданину</w:t>
            </w:r>
            <w:proofErr w:type="spellEnd"/>
            <w:r>
              <w:rPr>
                <w:sz w:val="22"/>
              </w:rPr>
              <w:t xml:space="preserve"> и (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организации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информации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предоставление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которой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предусмотрено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законом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несвоевременное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предоставление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предоставление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заведомо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недостоверной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информации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Административный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штраф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размере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5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10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8" w:anchor="block_539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Статья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5.39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КоАП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РФ</w:t>
              </w:r>
            </w:hyperlink>
          </w:p>
        </w:tc>
      </w:tr>
      <w:tr w:rsidR="00C008D2" w:rsidTr="003B5D3E"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Обработка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случаях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предусмотренных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законом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обработка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несовместимая</w:t>
            </w:r>
            <w:proofErr w:type="spell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целями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сбора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Предупреждение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административный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штраф</w:t>
            </w:r>
            <w:proofErr w:type="spellEnd"/>
            <w:r>
              <w:rPr>
                <w:sz w:val="22"/>
              </w:rPr>
              <w:t>:</w:t>
            </w:r>
          </w:p>
          <w:p w:rsidR="00C008D2" w:rsidRDefault="00B27B34">
            <w:pPr>
              <w:pStyle w:val="TableContents"/>
              <w:numPr>
                <w:ilvl w:val="0"/>
                <w:numId w:val="1"/>
              </w:numPr>
              <w:spacing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граждан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1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3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1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5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10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1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юридических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30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50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9" w:anchor="block_131110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Часть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1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. 13.11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КоАП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РФ</w:t>
              </w:r>
            </w:hyperlink>
          </w:p>
        </w:tc>
      </w:tr>
      <w:tr w:rsidR="00C008D2" w:rsidTr="003B5D3E">
        <w:trPr>
          <w:trHeight w:val="82"/>
        </w:trPr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 w:rsidP="003B5D3E">
            <w:pPr>
              <w:pStyle w:val="TableContents"/>
              <w:spacing w:after="255" w:line="270" w:lineRule="atLeast"/>
            </w:pPr>
            <w:proofErr w:type="spellStart"/>
            <w:r>
              <w:rPr>
                <w:sz w:val="22"/>
              </w:rPr>
              <w:t>Обработка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без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письменного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согласия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субъекта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когда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необходимо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обработка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нарушением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требований</w:t>
            </w:r>
            <w:proofErr w:type="spellEnd"/>
            <w:r>
              <w:rPr>
                <w:sz w:val="22"/>
              </w:rPr>
              <w:t xml:space="preserve"> к </w:t>
            </w:r>
            <w:proofErr w:type="spellStart"/>
            <w:r>
              <w:rPr>
                <w:sz w:val="22"/>
              </w:rPr>
              <w:t>составу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сведений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включаемых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такое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согласие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Административный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штраф</w:t>
            </w:r>
            <w:proofErr w:type="spellEnd"/>
            <w:r>
              <w:rPr>
                <w:sz w:val="22"/>
              </w:rPr>
              <w:t>:</w:t>
            </w:r>
          </w:p>
          <w:p w:rsidR="00C008D2" w:rsidRDefault="00B27B34">
            <w:pPr>
              <w:pStyle w:val="TableContents"/>
              <w:numPr>
                <w:ilvl w:val="0"/>
                <w:numId w:val="2"/>
              </w:numPr>
              <w:spacing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граждан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3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5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2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10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20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2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юридических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15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75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10" w:anchor="block_131120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Часть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2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. 13.11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КоАП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РФ</w:t>
              </w:r>
            </w:hyperlink>
            <w:r w:rsidR="00B27B34">
              <w:t> </w:t>
            </w:r>
          </w:p>
          <w:p w:rsidR="00C008D2" w:rsidRDefault="00B27B34">
            <w:pPr>
              <w:pStyle w:val="TableContents"/>
              <w:spacing w:after="255" w:line="270" w:lineRule="atLeast"/>
            </w:pPr>
            <w:r>
              <w:t> </w:t>
            </w:r>
          </w:p>
          <w:p w:rsidR="00C008D2" w:rsidRDefault="00B27B34">
            <w:pPr>
              <w:pStyle w:val="TableContents"/>
              <w:spacing w:after="255" w:line="270" w:lineRule="atLeast"/>
            </w:pPr>
            <w:r>
              <w:t> </w:t>
            </w:r>
          </w:p>
          <w:p w:rsidR="00C008D2" w:rsidRDefault="00B27B34">
            <w:pPr>
              <w:pStyle w:val="TableContents"/>
              <w:spacing w:after="255" w:line="270" w:lineRule="atLeast"/>
            </w:pPr>
            <w:r>
              <w:t> </w:t>
            </w:r>
          </w:p>
          <w:p w:rsidR="00C008D2" w:rsidRDefault="00B27B34" w:rsidP="003B5D3E">
            <w:pPr>
              <w:pStyle w:val="TableContents"/>
              <w:spacing w:after="255" w:line="270" w:lineRule="atLeast"/>
              <w:jc w:val="center"/>
            </w:pPr>
            <w:r>
              <w:t> </w:t>
            </w:r>
          </w:p>
        </w:tc>
      </w:tr>
      <w:tr w:rsidR="00C008D2" w:rsidTr="003B5D3E"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Невыполнение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оператором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обязанности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опубликованию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обеспечению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иным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образом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неограниченного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доступа</w:t>
            </w:r>
            <w:proofErr w:type="spellEnd"/>
            <w:r>
              <w:rPr>
                <w:sz w:val="22"/>
              </w:rPr>
              <w:t xml:space="preserve"> к </w:t>
            </w:r>
            <w:proofErr w:type="spellStart"/>
            <w:r>
              <w:rPr>
                <w:sz w:val="22"/>
              </w:rPr>
              <w:t>политике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обработки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Предупреждение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административный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штраф</w:t>
            </w:r>
            <w:proofErr w:type="spellEnd"/>
            <w:r>
              <w:rPr>
                <w:sz w:val="22"/>
              </w:rPr>
              <w:t>:</w:t>
            </w:r>
          </w:p>
          <w:p w:rsidR="00C008D2" w:rsidRDefault="00B27B34">
            <w:pPr>
              <w:pStyle w:val="TableContents"/>
              <w:numPr>
                <w:ilvl w:val="0"/>
                <w:numId w:val="3"/>
              </w:numPr>
              <w:spacing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граждан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700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1 </w:t>
            </w:r>
            <w:proofErr w:type="spellStart"/>
            <w:r>
              <w:rPr>
                <w:sz w:val="22"/>
              </w:rPr>
              <w:lastRenderedPageBreak/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3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3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6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3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индивидуальных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предпринимателей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5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10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3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юридических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15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30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11" w:anchor="block_131130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Часть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3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. 13.11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КоАП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РФ</w:t>
              </w:r>
            </w:hyperlink>
          </w:p>
          <w:p w:rsidR="00C008D2" w:rsidRDefault="00B27B34">
            <w:pPr>
              <w:pStyle w:val="TableContents"/>
              <w:spacing w:after="255" w:line="270" w:lineRule="atLeast"/>
            </w:pPr>
            <w:r>
              <w:lastRenderedPageBreak/>
              <w:t> </w:t>
            </w:r>
          </w:p>
          <w:p w:rsidR="00C008D2" w:rsidRDefault="00B27B34">
            <w:pPr>
              <w:pStyle w:val="TableContents"/>
              <w:spacing w:after="255" w:line="270" w:lineRule="atLeast"/>
            </w:pPr>
            <w:r>
              <w:t> </w:t>
            </w:r>
          </w:p>
          <w:p w:rsidR="00C008D2" w:rsidRDefault="00B27B34">
            <w:pPr>
              <w:pStyle w:val="TableContents"/>
              <w:spacing w:after="255" w:line="270" w:lineRule="atLeast"/>
            </w:pPr>
            <w:r>
              <w:t> </w:t>
            </w:r>
          </w:p>
          <w:p w:rsidR="00C008D2" w:rsidRDefault="00B27B34" w:rsidP="003B5D3E">
            <w:pPr>
              <w:pStyle w:val="TableContents"/>
              <w:spacing w:after="255" w:line="270" w:lineRule="atLeast"/>
            </w:pPr>
            <w:r>
              <w:t>  </w:t>
            </w:r>
          </w:p>
        </w:tc>
      </w:tr>
      <w:tr w:rsidR="00C008D2" w:rsidTr="003B5D3E"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Невыполнение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оператором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обязанности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предоставлению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субъекту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информации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касающейся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обработки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Предупреждение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административный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штраф</w:t>
            </w:r>
            <w:proofErr w:type="spellEnd"/>
            <w:r>
              <w:rPr>
                <w:sz w:val="22"/>
              </w:rPr>
              <w:t>:</w:t>
            </w:r>
          </w:p>
          <w:p w:rsidR="00C008D2" w:rsidRDefault="00B27B34">
            <w:pPr>
              <w:pStyle w:val="TableContents"/>
              <w:numPr>
                <w:ilvl w:val="0"/>
                <w:numId w:val="4"/>
              </w:numPr>
              <w:spacing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граждан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1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2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4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4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6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4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индивидуальных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предпринимателей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10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15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4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юридических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20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40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12" w:anchor="block_131140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Часть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4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. 13.11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КоАП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РФ</w:t>
              </w:r>
            </w:hyperlink>
          </w:p>
        </w:tc>
      </w:tr>
      <w:tr w:rsidR="00C008D2" w:rsidTr="003B5D3E"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Невыполнение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оператором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установленные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требования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субъекта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представителя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Роскомнадзора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уточнении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блокировании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уничтожении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если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являются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неполными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устаревшими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неточными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незаконно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полученными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являются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необходимыми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заявленной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цели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обработки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Предупреждение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административный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штраф</w:t>
            </w:r>
            <w:proofErr w:type="spellEnd"/>
            <w:r>
              <w:rPr>
                <w:sz w:val="22"/>
              </w:rPr>
              <w:t>:</w:t>
            </w:r>
          </w:p>
          <w:p w:rsidR="00C008D2" w:rsidRDefault="00B27B34">
            <w:pPr>
              <w:pStyle w:val="TableContents"/>
              <w:numPr>
                <w:ilvl w:val="0"/>
                <w:numId w:val="5"/>
              </w:numPr>
              <w:spacing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граждан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1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2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5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4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10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5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индивидуальных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предпринимателей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10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20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5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юридических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25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45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13" w:anchor="block_131150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Часть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5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. 13.11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КоАП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РФ</w:t>
              </w:r>
            </w:hyperlink>
          </w:p>
        </w:tc>
      </w:tr>
      <w:tr w:rsidR="00C008D2" w:rsidTr="003B5D3E"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Невыполнение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оператором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обработке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без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использования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средств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автоматизации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обязанности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соблюдению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условий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обеспечивающих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сохранность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исключающих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несанкционированный</w:t>
            </w:r>
            <w:proofErr w:type="spellEnd"/>
            <w:r>
              <w:rPr>
                <w:sz w:val="22"/>
              </w:rPr>
              <w:t xml:space="preserve"> к </w:t>
            </w:r>
            <w:proofErr w:type="spellStart"/>
            <w:r>
              <w:rPr>
                <w:sz w:val="22"/>
              </w:rPr>
              <w:t>ним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доступ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если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повлекло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неправомерный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случайный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доступ</w:t>
            </w:r>
            <w:proofErr w:type="spellEnd"/>
            <w:r>
              <w:rPr>
                <w:sz w:val="22"/>
              </w:rPr>
              <w:t xml:space="preserve"> к </w:t>
            </w:r>
            <w:proofErr w:type="spellStart"/>
            <w:r>
              <w:rPr>
                <w:sz w:val="22"/>
              </w:rPr>
              <w:t>данным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уничтожение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изменение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блокирование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копирование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предоставление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распространение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неправомерные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действия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отношении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них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Административный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штраф</w:t>
            </w:r>
            <w:proofErr w:type="spellEnd"/>
            <w:r>
              <w:rPr>
                <w:sz w:val="22"/>
              </w:rPr>
              <w:t>:</w:t>
            </w:r>
          </w:p>
          <w:p w:rsidR="00C008D2" w:rsidRDefault="00B27B34">
            <w:pPr>
              <w:pStyle w:val="TableContents"/>
              <w:numPr>
                <w:ilvl w:val="0"/>
                <w:numId w:val="6"/>
              </w:numPr>
              <w:spacing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граждан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700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2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6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4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10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6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индивидуальных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предпринимателей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10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20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6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юридических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25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50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14" w:anchor="block_131160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Часть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6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. 13.11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КоАП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РФ</w:t>
              </w:r>
            </w:hyperlink>
          </w:p>
        </w:tc>
      </w:tr>
      <w:tr w:rsidR="00C008D2" w:rsidTr="003B5D3E"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Невыполнение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оператором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являющимся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государственным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муниципальным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органом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обязанности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обезличиванию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несоблюдение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установленных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этого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требований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методов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Предупреждение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наложение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административного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штрафа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размере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3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6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15" w:anchor="block_131170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Часть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7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. 13.11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КоАП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РФ</w:t>
              </w:r>
            </w:hyperlink>
          </w:p>
        </w:tc>
      </w:tr>
      <w:tr w:rsidR="00C008D2" w:rsidTr="003B5D3E"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Непредставление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несвоевременное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представление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государственный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уполномоченный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орган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сведений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представление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которых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предусмотрено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законом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предоставление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таких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сведений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неполном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объеме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искаженном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виде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Административный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штраф</w:t>
            </w:r>
            <w:proofErr w:type="spellEnd"/>
            <w:r>
              <w:rPr>
                <w:sz w:val="22"/>
              </w:rPr>
              <w:t>:</w:t>
            </w:r>
          </w:p>
          <w:p w:rsidR="00C008D2" w:rsidRDefault="00B27B34">
            <w:pPr>
              <w:pStyle w:val="TableContents"/>
              <w:numPr>
                <w:ilvl w:val="0"/>
                <w:numId w:val="7"/>
              </w:numPr>
              <w:spacing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граждан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100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300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7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300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500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.;</w:t>
            </w:r>
          </w:p>
          <w:p w:rsidR="00C008D2" w:rsidRDefault="00B27B34">
            <w:pPr>
              <w:pStyle w:val="TableContents"/>
              <w:numPr>
                <w:ilvl w:val="0"/>
                <w:numId w:val="7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юридических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3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5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16" w:anchor="block_197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Статья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19.7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КоАП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РФ</w:t>
              </w:r>
            </w:hyperlink>
          </w:p>
        </w:tc>
      </w:tr>
      <w:tr w:rsidR="00C008D2" w:rsidTr="003B5D3E">
        <w:trPr>
          <w:trHeight w:val="3767"/>
        </w:trPr>
        <w:tc>
          <w:tcPr>
            <w:tcW w:w="17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Уголовная</w:t>
            </w:r>
            <w:proofErr w:type="spellEnd"/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Pr="003B5D3E" w:rsidRDefault="00B27B34" w:rsidP="003B5D3E">
            <w:pPr>
              <w:pStyle w:val="TableContents"/>
              <w:spacing w:after="255" w:line="270" w:lineRule="atLeast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Незаконное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собирание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распространение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сведений</w:t>
            </w:r>
            <w:proofErr w:type="spellEnd"/>
            <w:r>
              <w:rPr>
                <w:sz w:val="22"/>
              </w:rPr>
              <w:t xml:space="preserve"> о </w:t>
            </w:r>
            <w:proofErr w:type="spellStart"/>
            <w:r>
              <w:rPr>
                <w:sz w:val="22"/>
              </w:rPr>
              <w:t>частной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жизни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составляющих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личную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семейную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тайну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без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согласия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распространение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этих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сведений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публичном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выступлении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публично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демонстрирующемся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произведении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СМИ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Штраф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 200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., 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обязательные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работы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> 360 </w:t>
            </w:r>
            <w:proofErr w:type="spellStart"/>
            <w:r>
              <w:rPr>
                <w:sz w:val="22"/>
              </w:rPr>
              <w:t>часов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исправительные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работы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одного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года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принудительные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работы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двух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 (с </w:t>
            </w:r>
            <w:proofErr w:type="spellStart"/>
            <w:r>
              <w:rPr>
                <w:sz w:val="22"/>
              </w:rPr>
              <w:t>лишением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занимать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определенные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трех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без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такового</w:t>
            </w:r>
            <w:proofErr w:type="spellEnd"/>
            <w:r>
              <w:rPr>
                <w:sz w:val="22"/>
              </w:rPr>
              <w:t xml:space="preserve">),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арест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четырех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месяцев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лишение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свободы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двух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 (с </w:t>
            </w:r>
            <w:proofErr w:type="spellStart"/>
            <w:r>
              <w:rPr>
                <w:sz w:val="22"/>
              </w:rPr>
              <w:t>лишением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занимать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определенные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трех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17" w:anchor="block_137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Статья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137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Уголовного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кодекса</w:t>
              </w:r>
              <w:proofErr w:type="spellEnd"/>
            </w:hyperlink>
          </w:p>
        </w:tc>
      </w:tr>
      <w:tr w:rsidR="00C008D2" w:rsidTr="003B5D3E"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деяние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совершенное</w:t>
            </w:r>
            <w:proofErr w:type="spell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использованием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служебного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положения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Штраф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 100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300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лишение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занимать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определенные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двух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пяти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принудительные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работы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четырех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 (с </w:t>
            </w:r>
            <w:proofErr w:type="spellStart"/>
            <w:r>
              <w:rPr>
                <w:sz w:val="22"/>
              </w:rPr>
              <w:t>лишением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занимать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определенные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пяти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без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такового</w:t>
            </w:r>
            <w:proofErr w:type="spellEnd"/>
            <w:r>
              <w:rPr>
                <w:sz w:val="22"/>
              </w:rPr>
              <w:t xml:space="preserve">),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арест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шести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месяцев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лишение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свободы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четырех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 (с </w:t>
            </w:r>
            <w:proofErr w:type="spellStart"/>
            <w:r>
              <w:rPr>
                <w:sz w:val="22"/>
              </w:rPr>
              <w:t>лишением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занимать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определенные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пяти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</w:tr>
      <w:tr w:rsidR="00C008D2" w:rsidTr="003B5D3E"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Незаконное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публичное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распространение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информации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указывающей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личность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достигшего</w:t>
            </w:r>
            <w:proofErr w:type="spellEnd"/>
            <w:r>
              <w:rPr>
                <w:sz w:val="22"/>
              </w:rPr>
              <w:t xml:space="preserve"> 16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уголовному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делу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информации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содержащей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описание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полученных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связи</w:t>
            </w:r>
            <w:proofErr w:type="spell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преступлением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физических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нравственных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страданий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Штраф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 100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300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., 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лишение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занимать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определенные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трех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пяти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принудительные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работы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пяти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 (с </w:t>
            </w:r>
            <w:proofErr w:type="spellStart"/>
            <w:r>
              <w:rPr>
                <w:sz w:val="22"/>
              </w:rPr>
              <w:t>лишением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занимать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определенные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шести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без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такового</w:t>
            </w:r>
            <w:proofErr w:type="spellEnd"/>
            <w:r>
              <w:rPr>
                <w:sz w:val="22"/>
              </w:rPr>
              <w:t>), 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арест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шести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месяцев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лишение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свободы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пяти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 (с </w:t>
            </w:r>
            <w:proofErr w:type="spellStart"/>
            <w:r>
              <w:rPr>
                <w:sz w:val="22"/>
              </w:rPr>
              <w:t>лишением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занимать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определенные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шести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</w:tr>
      <w:tr w:rsidR="00C008D2" w:rsidTr="003B5D3E"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Неправомерный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отказ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лица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предоставлении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документов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материалов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непосредственно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затрагивающих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свободы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гражданина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предоставление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ему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неполной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заведомо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ложной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информации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если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причинило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правам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законным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интересам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граждан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Штраф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 200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., 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лишение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занимать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определенные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двух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пяти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18" w:anchor="block_140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Статья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140 УК РФ</w:t>
              </w:r>
            </w:hyperlink>
          </w:p>
        </w:tc>
      </w:tr>
      <w:tr w:rsidR="00C008D2" w:rsidTr="003B5D3E"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Неправомерный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доступ</w:t>
            </w:r>
            <w:proofErr w:type="spellEnd"/>
            <w:r>
              <w:rPr>
                <w:sz w:val="22"/>
              </w:rPr>
              <w:t xml:space="preserve"> к </w:t>
            </w:r>
            <w:proofErr w:type="spellStart"/>
            <w:r>
              <w:rPr>
                <w:sz w:val="22"/>
              </w:rPr>
              <w:t>охраняемой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законом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компьютерной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информации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если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это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повлекло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уничтожение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блокирование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модификацию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копирование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Штраф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 200 </w:t>
            </w:r>
            <w:proofErr w:type="spellStart"/>
            <w:r>
              <w:rPr>
                <w:sz w:val="22"/>
              </w:rPr>
              <w:t>тыс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исправительные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работы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одного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года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ограничение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свободы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двух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принудительные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работы</w:t>
            </w:r>
            <w:proofErr w:type="spellEnd"/>
            <w:r>
              <w:rPr>
                <w:sz w:val="22"/>
              </w:rPr>
              <w:t> 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двух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лет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либо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лишение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свободы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тот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срок</w:t>
            </w:r>
            <w:proofErr w:type="spellEnd"/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19" w:anchor="block_272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Статья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272 УК РФ</w:t>
              </w:r>
            </w:hyperlink>
          </w:p>
        </w:tc>
      </w:tr>
      <w:tr w:rsidR="00C008D2" w:rsidTr="003B5D3E">
        <w:tc>
          <w:tcPr>
            <w:tcW w:w="17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Гражданско-правовая</w:t>
            </w:r>
            <w:proofErr w:type="spellEnd"/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Причинение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убытков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результате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нарушения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правил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обработки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  <w:r>
              <w:rPr>
                <w:sz w:val="22"/>
              </w:rPr>
              <w:t>.</w:t>
            </w:r>
          </w:p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Под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убытками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этом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понимаются</w:t>
            </w:r>
            <w:proofErr w:type="spellEnd"/>
            <w:r>
              <w:rPr>
                <w:sz w:val="22"/>
              </w:rPr>
              <w:t>:</w:t>
            </w:r>
          </w:p>
          <w:p w:rsidR="00C008D2" w:rsidRDefault="00B27B34">
            <w:pPr>
              <w:pStyle w:val="TableContents"/>
              <w:numPr>
                <w:ilvl w:val="0"/>
                <w:numId w:val="8"/>
              </w:numPr>
              <w:spacing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расходы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которые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произвело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должно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будет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произвести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восстановления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нарушенного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права</w:t>
            </w:r>
            <w:proofErr w:type="spellEnd"/>
            <w:r>
              <w:rPr>
                <w:sz w:val="22"/>
              </w:rPr>
              <w:t>;</w:t>
            </w:r>
          </w:p>
          <w:p w:rsidR="00C008D2" w:rsidRDefault="00B27B34">
            <w:pPr>
              <w:pStyle w:val="TableContents"/>
              <w:numPr>
                <w:ilvl w:val="0"/>
                <w:numId w:val="8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утрата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повреждение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имущества</w:t>
            </w:r>
            <w:proofErr w:type="spellEnd"/>
            <w:r>
              <w:rPr>
                <w:sz w:val="22"/>
              </w:rPr>
              <w:t>;</w:t>
            </w:r>
          </w:p>
          <w:p w:rsidR="00C008D2" w:rsidRDefault="00B27B34">
            <w:pPr>
              <w:pStyle w:val="TableContents"/>
              <w:numPr>
                <w:ilvl w:val="0"/>
                <w:numId w:val="8"/>
              </w:numPr>
              <w:spacing w:before="60" w:line="270" w:lineRule="atLeast"/>
              <w:ind w:left="15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неполученные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доходы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которые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лицо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получило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бы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будь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нарушено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Возмещение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убытков</w:t>
            </w:r>
            <w:proofErr w:type="spellEnd"/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20" w:anchor="block_15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Статья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15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Гражданского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кодекса</w:t>
              </w:r>
              <w:proofErr w:type="spellEnd"/>
            </w:hyperlink>
          </w:p>
        </w:tc>
      </w:tr>
      <w:tr w:rsidR="00C008D2" w:rsidTr="003B5D3E"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Причинение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гражданину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морального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вреда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нравственных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страданий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вследствие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нарушения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правил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обработки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Компенсация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морального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вреда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независимо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возмещения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имущественного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вреда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понесенных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субъектом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убытков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21" w:anchor="block_24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Статья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24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закона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о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персональных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данных</w:t>
              </w:r>
              <w:proofErr w:type="spellEnd"/>
            </w:hyperlink>
            <w:r w:rsidR="00B27B34">
              <w:rPr>
                <w:sz w:val="22"/>
              </w:rPr>
              <w:t>, </w:t>
            </w:r>
            <w:proofErr w:type="spellStart"/>
            <w:r w:rsidR="0090611D">
              <w:fldChar w:fldCharType="begin"/>
            </w:r>
            <w:r w:rsidR="00C008D2">
              <w:instrText xml:space="preserve"> HYPERLINK  "http://base.garant.ru/10164072/8/#block_151" </w:instrText>
            </w:r>
            <w:r w:rsidR="0090611D">
              <w:fldChar w:fldCharType="separate"/>
            </w:r>
            <w:r w:rsidR="00B27B34">
              <w:rPr>
                <w:color w:val="808080"/>
                <w:sz w:val="22"/>
                <w:u w:val="single"/>
              </w:rPr>
              <w:t>ст</w:t>
            </w:r>
            <w:proofErr w:type="spellEnd"/>
            <w:r w:rsidR="00B27B34">
              <w:rPr>
                <w:color w:val="808080"/>
                <w:sz w:val="22"/>
                <w:u w:val="single"/>
              </w:rPr>
              <w:t>. 151 ГК РФ</w:t>
            </w:r>
            <w:r w:rsidR="0090611D">
              <w:fldChar w:fldCharType="end"/>
            </w:r>
          </w:p>
          <w:p w:rsidR="00C008D2" w:rsidRDefault="00B27B34">
            <w:pPr>
              <w:pStyle w:val="TableContents"/>
              <w:spacing w:after="255" w:line="270" w:lineRule="atLeast"/>
            </w:pPr>
            <w:r>
              <w:t> </w:t>
            </w:r>
          </w:p>
        </w:tc>
      </w:tr>
      <w:tr w:rsidR="00C008D2" w:rsidTr="003B5D3E">
        <w:trPr>
          <w:trHeight w:val="1924"/>
        </w:trPr>
        <w:tc>
          <w:tcPr>
            <w:tcW w:w="17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Pr="003B5D3E" w:rsidRDefault="00B27B34">
            <w:pPr>
              <w:pStyle w:val="TableContents"/>
              <w:spacing w:after="255" w:line="270" w:lineRule="atLeast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</w:rPr>
              <w:t>Дисциплинарная</w:t>
            </w:r>
            <w:proofErr w:type="spellEnd"/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Разглашение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одним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работником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другого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если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они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стали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известны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ему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связи</w:t>
            </w:r>
            <w:proofErr w:type="spell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исполнением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трудовых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обязанностей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Увольнение</w:t>
            </w:r>
            <w:proofErr w:type="spellEnd"/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22" w:anchor="p_4521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Подпункт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"в" п. 6 ч. 1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. 81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Трудового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</w:t>
              </w:r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кодекса</w:t>
              </w:r>
              <w:proofErr w:type="spellEnd"/>
            </w:hyperlink>
          </w:p>
        </w:tc>
      </w:tr>
      <w:tr w:rsidR="00C008D2" w:rsidTr="003B5D3E">
        <w:trPr>
          <w:trHeight w:val="1089"/>
        </w:trPr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C008D2"/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Иные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нарушения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области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персональных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обработке</w:t>
            </w:r>
            <w:proofErr w:type="spellEnd"/>
          </w:p>
        </w:tc>
        <w:tc>
          <w:tcPr>
            <w:tcW w:w="350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B27B34">
            <w:pPr>
              <w:pStyle w:val="TableContents"/>
              <w:spacing w:after="255" w:line="27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Замечание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выговор</w:t>
            </w:r>
            <w:proofErr w:type="spellEnd"/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08D2" w:rsidRDefault="003A562C">
            <w:pPr>
              <w:pStyle w:val="TableContents"/>
              <w:spacing w:after="255" w:line="270" w:lineRule="atLeast"/>
            </w:pPr>
            <w:hyperlink r:id="rId23" w:anchor="block_90" w:history="1">
              <w:proofErr w:type="spellStart"/>
              <w:r w:rsidR="00B27B34">
                <w:rPr>
                  <w:color w:val="808080"/>
                  <w:sz w:val="22"/>
                  <w:u w:val="single"/>
                </w:rPr>
                <w:t>Статья</w:t>
              </w:r>
              <w:proofErr w:type="spellEnd"/>
              <w:r w:rsidR="00B27B34">
                <w:rPr>
                  <w:color w:val="808080"/>
                  <w:sz w:val="22"/>
                  <w:u w:val="single"/>
                </w:rPr>
                <w:t xml:space="preserve"> 90</w:t>
              </w:r>
            </w:hyperlink>
            <w:r w:rsidR="00B27B34">
              <w:rPr>
                <w:sz w:val="22"/>
              </w:rPr>
              <w:t>, </w:t>
            </w:r>
            <w:proofErr w:type="spellStart"/>
            <w:r w:rsidR="0090611D">
              <w:fldChar w:fldCharType="begin"/>
            </w:r>
            <w:r w:rsidR="00C008D2">
              <w:instrText xml:space="preserve"> HYPERLINK  "http://base.garant.ru/12125268/30/#block_192" </w:instrText>
            </w:r>
            <w:r w:rsidR="0090611D">
              <w:fldChar w:fldCharType="separate"/>
            </w:r>
            <w:r w:rsidR="00B27B34">
              <w:rPr>
                <w:color w:val="808080"/>
                <w:sz w:val="22"/>
                <w:u w:val="single"/>
              </w:rPr>
              <w:t>ст</w:t>
            </w:r>
            <w:proofErr w:type="spellEnd"/>
            <w:r w:rsidR="00B27B34">
              <w:rPr>
                <w:color w:val="808080"/>
                <w:sz w:val="22"/>
                <w:u w:val="single"/>
              </w:rPr>
              <w:t>. 192 ТК РФ</w:t>
            </w:r>
            <w:r w:rsidR="0090611D">
              <w:fldChar w:fldCharType="end"/>
            </w:r>
          </w:p>
        </w:tc>
      </w:tr>
    </w:tbl>
    <w:p w:rsidR="00C008D2" w:rsidRDefault="00C008D2">
      <w:pPr>
        <w:pStyle w:val="Standard"/>
      </w:pPr>
    </w:p>
    <w:sectPr w:rsidR="00C008D2" w:rsidSect="00C008D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2C" w:rsidRDefault="003A562C" w:rsidP="00C008D2">
      <w:r>
        <w:separator/>
      </w:r>
    </w:p>
  </w:endnote>
  <w:endnote w:type="continuationSeparator" w:id="0">
    <w:p w:rsidR="003A562C" w:rsidRDefault="003A562C" w:rsidP="00C0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2C" w:rsidRDefault="003A562C" w:rsidP="00C008D2">
      <w:r w:rsidRPr="00C008D2">
        <w:rPr>
          <w:color w:val="000000"/>
        </w:rPr>
        <w:separator/>
      </w:r>
    </w:p>
  </w:footnote>
  <w:footnote w:type="continuationSeparator" w:id="0">
    <w:p w:rsidR="003A562C" w:rsidRDefault="003A562C" w:rsidP="00C0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DF"/>
    <w:multiLevelType w:val="multilevel"/>
    <w:tmpl w:val="06C06A4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67B1184"/>
    <w:multiLevelType w:val="multilevel"/>
    <w:tmpl w:val="5E0EDAD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780472C"/>
    <w:multiLevelType w:val="multilevel"/>
    <w:tmpl w:val="5A6C6394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23BC281F"/>
    <w:multiLevelType w:val="multilevel"/>
    <w:tmpl w:val="B4349FF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7695072"/>
    <w:multiLevelType w:val="multilevel"/>
    <w:tmpl w:val="D090D05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AB67607"/>
    <w:multiLevelType w:val="multilevel"/>
    <w:tmpl w:val="5C02255A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5D915A84"/>
    <w:multiLevelType w:val="multilevel"/>
    <w:tmpl w:val="9A80C98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73E7420E"/>
    <w:multiLevelType w:val="multilevel"/>
    <w:tmpl w:val="AC70C17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8D2"/>
    <w:rsid w:val="000470F2"/>
    <w:rsid w:val="003A562C"/>
    <w:rsid w:val="003B5D3E"/>
    <w:rsid w:val="003C61DF"/>
    <w:rsid w:val="0090611D"/>
    <w:rsid w:val="00B05FDE"/>
    <w:rsid w:val="00B27B34"/>
    <w:rsid w:val="00C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08D2"/>
  </w:style>
  <w:style w:type="paragraph" w:customStyle="1" w:styleId="Heading">
    <w:name w:val="Heading"/>
    <w:basedOn w:val="Standard"/>
    <w:next w:val="Textbody"/>
    <w:rsid w:val="00C008D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008D2"/>
    <w:pPr>
      <w:spacing w:after="120"/>
    </w:pPr>
  </w:style>
  <w:style w:type="paragraph" w:styleId="a3">
    <w:name w:val="List"/>
    <w:basedOn w:val="Textbody"/>
    <w:rsid w:val="00C008D2"/>
  </w:style>
  <w:style w:type="paragraph" w:customStyle="1" w:styleId="1">
    <w:name w:val="Название объекта1"/>
    <w:basedOn w:val="Standard"/>
    <w:rsid w:val="00C008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08D2"/>
    <w:pPr>
      <w:suppressLineNumbers/>
    </w:pPr>
  </w:style>
  <w:style w:type="paragraph" w:customStyle="1" w:styleId="11">
    <w:name w:val="Заголовок 11"/>
    <w:basedOn w:val="Heading"/>
    <w:next w:val="Textbody"/>
    <w:rsid w:val="00C008D2"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paragraph" w:customStyle="1" w:styleId="TableContents">
    <w:name w:val="Table Contents"/>
    <w:basedOn w:val="Standard"/>
    <w:rsid w:val="00C008D2"/>
    <w:pPr>
      <w:suppressLineNumbers/>
    </w:pPr>
  </w:style>
  <w:style w:type="paragraph" w:customStyle="1" w:styleId="TableHeading">
    <w:name w:val="Table Heading"/>
    <w:basedOn w:val="TableContents"/>
    <w:rsid w:val="00C008D2"/>
    <w:pPr>
      <w:jc w:val="center"/>
    </w:pPr>
    <w:rPr>
      <w:b/>
      <w:bCs/>
    </w:rPr>
  </w:style>
  <w:style w:type="character" w:customStyle="1" w:styleId="Internetlink">
    <w:name w:val="Internet link"/>
    <w:rsid w:val="00C008D2"/>
    <w:rPr>
      <w:color w:val="000080"/>
      <w:u w:val="single"/>
    </w:rPr>
  </w:style>
  <w:style w:type="character" w:styleId="a4">
    <w:name w:val="Emphasis"/>
    <w:rsid w:val="00C008D2"/>
    <w:rPr>
      <w:i/>
      <w:iCs/>
    </w:rPr>
  </w:style>
  <w:style w:type="character" w:customStyle="1" w:styleId="StrongEmphasis">
    <w:name w:val="Strong Emphasis"/>
    <w:rsid w:val="00C008D2"/>
    <w:rPr>
      <w:b/>
      <w:bCs/>
    </w:rPr>
  </w:style>
  <w:style w:type="character" w:customStyle="1" w:styleId="BulletSymbols">
    <w:name w:val="Bullet Symbols"/>
    <w:rsid w:val="00C008D2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5/" TargetMode="External"/><Relationship Id="rId13" Type="http://schemas.openxmlformats.org/officeDocument/2006/relationships/hyperlink" Target="http://base.garant.ru/12125267/13/" TargetMode="External"/><Relationship Id="rId18" Type="http://schemas.openxmlformats.org/officeDocument/2006/relationships/hyperlink" Target="http://base.garant.ru/10108000/2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48567/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2125267/13/" TargetMode="External"/><Relationship Id="rId17" Type="http://schemas.openxmlformats.org/officeDocument/2006/relationships/hyperlink" Target="http://base.garant.ru/10108000/2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2125267/19/" TargetMode="External"/><Relationship Id="rId20" Type="http://schemas.openxmlformats.org/officeDocument/2006/relationships/hyperlink" Target="http://base.garant.ru/10164072/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25267/1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25267/13/" TargetMode="External"/><Relationship Id="rId23" Type="http://schemas.openxmlformats.org/officeDocument/2006/relationships/hyperlink" Target="http://base.garant.ru/12125268/14/" TargetMode="External"/><Relationship Id="rId10" Type="http://schemas.openxmlformats.org/officeDocument/2006/relationships/hyperlink" Target="http://base.garant.ru/12125267/13/" TargetMode="External"/><Relationship Id="rId19" Type="http://schemas.openxmlformats.org/officeDocument/2006/relationships/hyperlink" Target="http://base.garant.ru/10108000/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7/13/" TargetMode="External"/><Relationship Id="rId14" Type="http://schemas.openxmlformats.org/officeDocument/2006/relationships/hyperlink" Target="http://base.garant.ru/12125267/13/" TargetMode="External"/><Relationship Id="rId22" Type="http://schemas.openxmlformats.org/officeDocument/2006/relationships/hyperlink" Target="http://base.garant.ru/12125268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1401</Words>
  <Characters>7990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2021-08-02T07:52:00Z</cp:lastPrinted>
  <dcterms:created xsi:type="dcterms:W3CDTF">2009-04-16T11:32:00Z</dcterms:created>
  <dcterms:modified xsi:type="dcterms:W3CDTF">2021-08-03T04:27:00Z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