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F1" w:rsidRPr="007D45F1" w:rsidRDefault="007D45F1" w:rsidP="007D45F1">
      <w:pPr>
        <w:spacing w:after="0"/>
        <w:jc w:val="right"/>
        <w:rPr>
          <w:rFonts w:ascii="Times New Roman" w:hAnsi="Times New Roman" w:cs="Times New Roman"/>
        </w:rPr>
      </w:pPr>
      <w:r w:rsidRPr="007D45F1">
        <w:rPr>
          <w:rFonts w:ascii="Times New Roman" w:hAnsi="Times New Roman" w:cs="Times New Roman"/>
        </w:rPr>
        <w:t xml:space="preserve">Утверждаю </w:t>
      </w:r>
    </w:p>
    <w:p w:rsidR="007D45F1" w:rsidRPr="007D45F1" w:rsidRDefault="007D45F1" w:rsidP="007D45F1">
      <w:pPr>
        <w:spacing w:after="0"/>
        <w:jc w:val="right"/>
        <w:rPr>
          <w:rFonts w:ascii="Times New Roman" w:hAnsi="Times New Roman" w:cs="Times New Roman"/>
        </w:rPr>
      </w:pPr>
      <w:r w:rsidRPr="007D45F1">
        <w:rPr>
          <w:rFonts w:ascii="Times New Roman" w:hAnsi="Times New Roman" w:cs="Times New Roman"/>
        </w:rPr>
        <w:t xml:space="preserve">Заведующая МБДОУ ДСКВ </w:t>
      </w:r>
    </w:p>
    <w:p w:rsidR="007D45F1" w:rsidRPr="007D45F1" w:rsidRDefault="007D45F1" w:rsidP="007D45F1">
      <w:pPr>
        <w:spacing w:after="0"/>
        <w:jc w:val="right"/>
        <w:rPr>
          <w:rFonts w:ascii="Times New Roman" w:hAnsi="Times New Roman" w:cs="Times New Roman"/>
        </w:rPr>
      </w:pPr>
      <w:r w:rsidRPr="007D45F1">
        <w:rPr>
          <w:rFonts w:ascii="Times New Roman" w:hAnsi="Times New Roman" w:cs="Times New Roman"/>
        </w:rPr>
        <w:t xml:space="preserve">№21 «Елочка»  </w:t>
      </w:r>
    </w:p>
    <w:p w:rsidR="007D45F1" w:rsidRPr="007D45F1" w:rsidRDefault="007D45F1" w:rsidP="007D45F1">
      <w:pPr>
        <w:spacing w:after="0"/>
        <w:jc w:val="right"/>
        <w:rPr>
          <w:rFonts w:ascii="Times New Roman" w:hAnsi="Times New Roman" w:cs="Times New Roman"/>
        </w:rPr>
      </w:pPr>
      <w:r w:rsidRPr="007D45F1">
        <w:rPr>
          <w:rFonts w:ascii="Times New Roman" w:hAnsi="Times New Roman" w:cs="Times New Roman"/>
        </w:rPr>
        <w:t>_________Н.И. Ведерникова</w:t>
      </w:r>
    </w:p>
    <w:p w:rsidR="00892FD7" w:rsidRPr="007D45F1" w:rsidRDefault="00B26044" w:rsidP="007D45F1">
      <w:pPr>
        <w:spacing w:after="0"/>
        <w:jc w:val="center"/>
        <w:rPr>
          <w:rFonts w:ascii="Times New Roman" w:hAnsi="Times New Roman" w:cs="Times New Roman"/>
        </w:rPr>
      </w:pPr>
      <w:r w:rsidRPr="007D45F1">
        <w:rPr>
          <w:rFonts w:ascii="Times New Roman" w:hAnsi="Times New Roman" w:cs="Times New Roman"/>
        </w:rPr>
        <w:t>План</w:t>
      </w:r>
    </w:p>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Мероприятий по защите персональных данных в МБДОУ ДСКВ №21 «Елочка»</w:t>
      </w:r>
    </w:p>
    <w:p w:rsidR="00B26044" w:rsidRPr="007D45F1" w:rsidRDefault="00B26044" w:rsidP="00B26044">
      <w:pPr>
        <w:jc w:val="center"/>
        <w:rPr>
          <w:rFonts w:ascii="Times New Roman" w:hAnsi="Times New Roman" w:cs="Times New Roman"/>
        </w:rPr>
      </w:pPr>
    </w:p>
    <w:tbl>
      <w:tblPr>
        <w:tblStyle w:val="a3"/>
        <w:tblW w:w="14850" w:type="dxa"/>
        <w:tblLook w:val="04A0"/>
      </w:tblPr>
      <w:tblGrid>
        <w:gridCol w:w="492"/>
        <w:gridCol w:w="3703"/>
        <w:gridCol w:w="2409"/>
        <w:gridCol w:w="1818"/>
        <w:gridCol w:w="6396"/>
        <w:gridCol w:w="13"/>
        <w:gridCol w:w="19"/>
      </w:tblGrid>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w:t>
            </w:r>
          </w:p>
        </w:tc>
        <w:tc>
          <w:tcPr>
            <w:tcW w:w="3711"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Наименование мероприятия</w:t>
            </w:r>
          </w:p>
        </w:tc>
        <w:tc>
          <w:tcPr>
            <w:tcW w:w="2409"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Срок выполнения</w:t>
            </w:r>
          </w:p>
        </w:tc>
        <w:tc>
          <w:tcPr>
            <w:tcW w:w="1798"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Ответственный за выполнение</w:t>
            </w:r>
          </w:p>
        </w:tc>
        <w:tc>
          <w:tcPr>
            <w:tcW w:w="6368" w:type="dxa"/>
            <w:gridSpan w:val="2"/>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Примечание</w:t>
            </w:r>
          </w:p>
        </w:tc>
      </w:tr>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1</w:t>
            </w:r>
          </w:p>
        </w:tc>
        <w:tc>
          <w:tcPr>
            <w:tcW w:w="3711"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Оформление правового обоснования обработки ПД</w:t>
            </w:r>
          </w:p>
        </w:tc>
        <w:tc>
          <w:tcPr>
            <w:tcW w:w="2409"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При вводе информационной системы ПД в эксплуатацию</w:t>
            </w:r>
          </w:p>
        </w:tc>
        <w:tc>
          <w:tcPr>
            <w:tcW w:w="1798"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заведующая</w:t>
            </w:r>
          </w:p>
        </w:tc>
        <w:tc>
          <w:tcPr>
            <w:tcW w:w="6368" w:type="dxa"/>
            <w:gridSpan w:val="2"/>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При создании ИСПДн необходимо оформить приказ о вводе в эксплуатацию. Приказ оформляется руководителем организации</w:t>
            </w:r>
          </w:p>
        </w:tc>
      </w:tr>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2</w:t>
            </w:r>
          </w:p>
        </w:tc>
        <w:tc>
          <w:tcPr>
            <w:tcW w:w="3711"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Направление в уполномоченный орган (Роскомнадзор) уведомления о намерении осуществлять обработку ПД с использованием средств автоматизации</w:t>
            </w:r>
          </w:p>
        </w:tc>
        <w:tc>
          <w:tcPr>
            <w:tcW w:w="2409"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При необходимости</w:t>
            </w:r>
          </w:p>
        </w:tc>
        <w:tc>
          <w:tcPr>
            <w:tcW w:w="1798"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Ответственное лицо</w:t>
            </w:r>
          </w:p>
        </w:tc>
        <w:tc>
          <w:tcPr>
            <w:tcW w:w="6368" w:type="dxa"/>
            <w:gridSpan w:val="2"/>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Уведомление направляется при вводе в эксплуатацию новых ИСПД</w:t>
            </w:r>
            <w:r w:rsidR="00443A4B" w:rsidRPr="007D45F1">
              <w:rPr>
                <w:rFonts w:ascii="Times New Roman" w:hAnsi="Times New Roman" w:cs="Times New Roman"/>
              </w:rPr>
              <w:t>н</w:t>
            </w:r>
            <w:r w:rsidRPr="007D45F1">
              <w:rPr>
                <w:rFonts w:ascii="Times New Roman" w:hAnsi="Times New Roman" w:cs="Times New Roman"/>
              </w:rPr>
              <w:t>, либо при внесении изменений в существующие.</w:t>
            </w:r>
          </w:p>
        </w:tc>
      </w:tr>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3</w:t>
            </w:r>
          </w:p>
        </w:tc>
        <w:tc>
          <w:tcPr>
            <w:tcW w:w="3711"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Документальное регламентирование работы с ПД</w:t>
            </w:r>
          </w:p>
        </w:tc>
        <w:tc>
          <w:tcPr>
            <w:tcW w:w="2409"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При необходимости</w:t>
            </w:r>
          </w:p>
        </w:tc>
        <w:tc>
          <w:tcPr>
            <w:tcW w:w="1798"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Заведующая, комиссия</w:t>
            </w:r>
          </w:p>
        </w:tc>
        <w:tc>
          <w:tcPr>
            <w:tcW w:w="6368" w:type="dxa"/>
            <w:gridSpan w:val="2"/>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Разработка Положения по обработке и защите ПД, регламента специалиста ответственного за безопасность ПД, либо внесение изменений в существующие.</w:t>
            </w:r>
          </w:p>
        </w:tc>
      </w:tr>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4</w:t>
            </w:r>
          </w:p>
        </w:tc>
        <w:tc>
          <w:tcPr>
            <w:tcW w:w="3711"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Получение письменного согласия субъектов ПД на обработку ПД в случаях, когда этого требует законодательство</w:t>
            </w:r>
          </w:p>
        </w:tc>
        <w:tc>
          <w:tcPr>
            <w:tcW w:w="2409"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Постоянно</w:t>
            </w:r>
          </w:p>
        </w:tc>
        <w:tc>
          <w:tcPr>
            <w:tcW w:w="1798" w:type="dxa"/>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Ответственное лицо</w:t>
            </w:r>
          </w:p>
        </w:tc>
        <w:tc>
          <w:tcPr>
            <w:tcW w:w="6368" w:type="dxa"/>
            <w:gridSpan w:val="2"/>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Письменное согласие получателя при передаче ПД субъектами для обработки в ИСПДн, либо для обработки без использования автоматизации.</w:t>
            </w:r>
          </w:p>
        </w:tc>
      </w:tr>
      <w:tr w:rsidR="00B26044" w:rsidRPr="007D45F1" w:rsidTr="002C0DFE">
        <w:trPr>
          <w:gridAfter w:val="1"/>
          <w:wAfter w:w="64" w:type="dxa"/>
        </w:trPr>
        <w:tc>
          <w:tcPr>
            <w:tcW w:w="500" w:type="dxa"/>
          </w:tcPr>
          <w:p w:rsidR="00B26044" w:rsidRPr="007D45F1" w:rsidRDefault="00B26044" w:rsidP="00B26044">
            <w:pPr>
              <w:jc w:val="center"/>
              <w:rPr>
                <w:rFonts w:ascii="Times New Roman" w:hAnsi="Times New Roman" w:cs="Times New Roman"/>
              </w:rPr>
            </w:pPr>
            <w:r w:rsidRPr="007D45F1">
              <w:rPr>
                <w:rFonts w:ascii="Times New Roman" w:hAnsi="Times New Roman" w:cs="Times New Roman"/>
              </w:rPr>
              <w:t>5</w:t>
            </w:r>
          </w:p>
        </w:tc>
        <w:tc>
          <w:tcPr>
            <w:tcW w:w="3711" w:type="dxa"/>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Пересмотр договора с субъектами ПД в части обработки ПД</w:t>
            </w:r>
          </w:p>
        </w:tc>
        <w:tc>
          <w:tcPr>
            <w:tcW w:w="2409" w:type="dxa"/>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При необходимости</w:t>
            </w:r>
          </w:p>
        </w:tc>
        <w:tc>
          <w:tcPr>
            <w:tcW w:w="1798" w:type="dxa"/>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Ответственное лицо</w:t>
            </w:r>
          </w:p>
        </w:tc>
        <w:tc>
          <w:tcPr>
            <w:tcW w:w="6368" w:type="dxa"/>
            <w:gridSpan w:val="2"/>
          </w:tcPr>
          <w:p w:rsidR="00B26044" w:rsidRPr="007D45F1" w:rsidRDefault="00443A4B" w:rsidP="00B26044">
            <w:pPr>
              <w:jc w:val="center"/>
              <w:rPr>
                <w:rFonts w:ascii="Times New Roman" w:hAnsi="Times New Roman" w:cs="Times New Roman"/>
              </w:rPr>
            </w:pPr>
            <w:r w:rsidRPr="007D45F1">
              <w:rPr>
                <w:rFonts w:ascii="Times New Roman" w:hAnsi="Times New Roman" w:cs="Times New Roman"/>
              </w:rPr>
              <w:t>(например, в договор может быть включено согласие на обработку и передачу его ПД). Пересмотр договоров проводится при необходимости</w:t>
            </w:r>
            <w:r w:rsidR="002C0DFE" w:rsidRPr="007D45F1">
              <w:rPr>
                <w:rFonts w:ascii="Times New Roman" w:hAnsi="Times New Roman" w:cs="Times New Roman"/>
              </w:rPr>
              <w:t>.</w:t>
            </w:r>
          </w:p>
        </w:tc>
      </w:tr>
      <w:tr w:rsidR="002C0DFE" w:rsidRPr="007D45F1" w:rsidTr="002C0DFE">
        <w:trPr>
          <w:trHeight w:val="659"/>
        </w:trPr>
        <w:tc>
          <w:tcPr>
            <w:tcW w:w="0" w:type="auto"/>
          </w:tcPr>
          <w:p w:rsidR="002C0DFE" w:rsidRPr="007D45F1" w:rsidRDefault="002C0DFE">
            <w:pPr>
              <w:pStyle w:val="Default"/>
              <w:rPr>
                <w:sz w:val="22"/>
                <w:szCs w:val="22"/>
              </w:rPr>
            </w:pPr>
            <w:r w:rsidRPr="007D45F1">
              <w:rPr>
                <w:sz w:val="22"/>
                <w:szCs w:val="22"/>
              </w:rPr>
              <w:t xml:space="preserve">6. </w:t>
            </w:r>
          </w:p>
        </w:tc>
        <w:tc>
          <w:tcPr>
            <w:tcW w:w="0" w:type="auto"/>
          </w:tcPr>
          <w:p w:rsidR="002C0DFE" w:rsidRPr="007D45F1" w:rsidRDefault="002C0DFE">
            <w:pPr>
              <w:pStyle w:val="Default"/>
              <w:rPr>
                <w:sz w:val="22"/>
                <w:szCs w:val="22"/>
              </w:rPr>
            </w:pPr>
            <w:r w:rsidRPr="007D45F1">
              <w:rPr>
                <w:sz w:val="22"/>
                <w:szCs w:val="22"/>
              </w:rPr>
              <w:t xml:space="preserve">Установка сроков обработки ПД и процедуры их уничтожения по окончании срока обработки </w:t>
            </w:r>
          </w:p>
        </w:tc>
        <w:tc>
          <w:tcPr>
            <w:tcW w:w="0" w:type="auto"/>
          </w:tcPr>
          <w:p w:rsidR="002C0DFE" w:rsidRPr="007D45F1" w:rsidRDefault="002C0DFE">
            <w:pPr>
              <w:pStyle w:val="Default"/>
              <w:rPr>
                <w:sz w:val="22"/>
                <w:szCs w:val="22"/>
              </w:rPr>
            </w:pPr>
            <w:r w:rsidRPr="007D45F1">
              <w:rPr>
                <w:sz w:val="22"/>
                <w:szCs w:val="22"/>
              </w:rPr>
              <w:t xml:space="preserve">При необходимости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c>
          <w:tcPr>
            <w:tcW w:w="6432" w:type="dxa"/>
            <w:gridSpan w:val="3"/>
          </w:tcPr>
          <w:p w:rsidR="002C0DFE" w:rsidRPr="007D45F1" w:rsidRDefault="002C0DFE">
            <w:pPr>
              <w:pStyle w:val="Default"/>
              <w:rPr>
                <w:sz w:val="22"/>
                <w:szCs w:val="22"/>
              </w:rPr>
            </w:pPr>
            <w:r w:rsidRPr="007D45F1">
              <w:rPr>
                <w:sz w:val="22"/>
                <w:szCs w:val="22"/>
              </w:rPr>
              <w:t xml:space="preserve">Для каждой ИСПДн организацией - оператором ПД должны быть установлены сроки обработки ПД, что должно быть документально подтверждено в паспорте на ИСПДн. При пересмотре сроков - необходимые изменения должны быть внесены в паспорт ИСПДн </w:t>
            </w:r>
          </w:p>
        </w:tc>
      </w:tr>
      <w:tr w:rsidR="002C0DFE" w:rsidRPr="007D45F1" w:rsidTr="002C0DFE">
        <w:trPr>
          <w:gridAfter w:val="2"/>
          <w:wAfter w:w="111" w:type="dxa"/>
          <w:trHeight w:val="1348"/>
        </w:trPr>
        <w:tc>
          <w:tcPr>
            <w:tcW w:w="0" w:type="auto"/>
          </w:tcPr>
          <w:p w:rsidR="002C0DFE" w:rsidRPr="007D45F1" w:rsidRDefault="002C0DFE">
            <w:pPr>
              <w:pStyle w:val="Default"/>
              <w:rPr>
                <w:sz w:val="22"/>
                <w:szCs w:val="22"/>
              </w:rPr>
            </w:pPr>
            <w:r w:rsidRPr="007D45F1">
              <w:rPr>
                <w:sz w:val="22"/>
                <w:szCs w:val="22"/>
              </w:rPr>
              <w:lastRenderedPageBreak/>
              <w:t xml:space="preserve">7. </w:t>
            </w:r>
          </w:p>
        </w:tc>
        <w:tc>
          <w:tcPr>
            <w:tcW w:w="0" w:type="auto"/>
          </w:tcPr>
          <w:p w:rsidR="002C0DFE" w:rsidRPr="007D45F1" w:rsidRDefault="002C0DFE">
            <w:pPr>
              <w:pStyle w:val="Default"/>
              <w:rPr>
                <w:sz w:val="22"/>
                <w:szCs w:val="22"/>
              </w:rPr>
            </w:pPr>
            <w:r w:rsidRPr="007D45F1">
              <w:rPr>
                <w:sz w:val="22"/>
                <w:szCs w:val="22"/>
              </w:rPr>
              <w:t>Ограничение доступа работников к</w:t>
            </w:r>
            <w:r w:rsidR="00482AEA" w:rsidRPr="007D45F1">
              <w:rPr>
                <w:sz w:val="22"/>
                <w:szCs w:val="22"/>
              </w:rPr>
              <w:t xml:space="preserve"> </w:t>
            </w:r>
            <w:r w:rsidRPr="007D45F1">
              <w:rPr>
                <w:sz w:val="22"/>
                <w:szCs w:val="22"/>
              </w:rPr>
              <w:t xml:space="preserve">ПД </w:t>
            </w:r>
          </w:p>
        </w:tc>
        <w:tc>
          <w:tcPr>
            <w:tcW w:w="0" w:type="auto"/>
          </w:tcPr>
          <w:p w:rsidR="002C0DFE" w:rsidRPr="007D45F1" w:rsidRDefault="002C0DFE">
            <w:pPr>
              <w:pStyle w:val="Default"/>
              <w:rPr>
                <w:sz w:val="22"/>
                <w:szCs w:val="22"/>
              </w:rPr>
            </w:pPr>
            <w:r w:rsidRPr="007D45F1">
              <w:rPr>
                <w:sz w:val="22"/>
                <w:szCs w:val="22"/>
              </w:rPr>
              <w:t xml:space="preserve">При необходимости (при создании ИСПДн)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c>
          <w:tcPr>
            <w:tcW w:w="6321" w:type="dxa"/>
          </w:tcPr>
          <w:p w:rsidR="002C0DFE" w:rsidRPr="007D45F1" w:rsidRDefault="002C0DFE">
            <w:pPr>
              <w:pStyle w:val="Default"/>
              <w:rPr>
                <w:sz w:val="22"/>
                <w:szCs w:val="22"/>
              </w:rPr>
            </w:pPr>
            <w:r w:rsidRPr="007D45F1">
              <w:rPr>
                <w:sz w:val="22"/>
                <w:szCs w:val="22"/>
              </w:rPr>
              <w:t xml:space="preserve">В случае создания ИСПДн, а также приведения имеющихся ИСПДн в соответствии с требованиями закона необходимо разграничить доступ к ПД сотрудников организации согласно матрице доступа (сотрудники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ИСПДн </w:t>
            </w:r>
          </w:p>
        </w:tc>
      </w:tr>
      <w:tr w:rsidR="002C0DFE" w:rsidRPr="007D45F1" w:rsidTr="002C0DFE">
        <w:trPr>
          <w:gridAfter w:val="2"/>
          <w:wAfter w:w="111" w:type="dxa"/>
          <w:trHeight w:val="526"/>
        </w:trPr>
        <w:tc>
          <w:tcPr>
            <w:tcW w:w="0" w:type="auto"/>
          </w:tcPr>
          <w:p w:rsidR="002C0DFE" w:rsidRPr="007D45F1" w:rsidRDefault="002C0DFE">
            <w:pPr>
              <w:pStyle w:val="Default"/>
              <w:rPr>
                <w:sz w:val="22"/>
                <w:szCs w:val="22"/>
              </w:rPr>
            </w:pPr>
            <w:r w:rsidRPr="007D45F1">
              <w:rPr>
                <w:sz w:val="22"/>
                <w:szCs w:val="22"/>
              </w:rPr>
              <w:t xml:space="preserve">8. </w:t>
            </w:r>
          </w:p>
        </w:tc>
        <w:tc>
          <w:tcPr>
            <w:tcW w:w="0" w:type="auto"/>
          </w:tcPr>
          <w:p w:rsidR="002C0DFE" w:rsidRPr="007D45F1" w:rsidRDefault="002C0DFE">
            <w:pPr>
              <w:pStyle w:val="Default"/>
              <w:rPr>
                <w:sz w:val="22"/>
                <w:szCs w:val="22"/>
              </w:rPr>
            </w:pPr>
            <w:r w:rsidRPr="007D45F1">
              <w:rPr>
                <w:sz w:val="22"/>
                <w:szCs w:val="22"/>
              </w:rPr>
              <w:t xml:space="preserve">Повышение квалификации сотрудников в области защиты персональных данных </w:t>
            </w:r>
          </w:p>
        </w:tc>
        <w:tc>
          <w:tcPr>
            <w:tcW w:w="0" w:type="auto"/>
          </w:tcPr>
          <w:p w:rsidR="002C0DFE" w:rsidRPr="007D45F1" w:rsidRDefault="002C0DFE">
            <w:pPr>
              <w:pStyle w:val="Default"/>
              <w:rPr>
                <w:sz w:val="22"/>
                <w:szCs w:val="22"/>
              </w:rPr>
            </w:pPr>
            <w:r w:rsidRPr="007D45F1">
              <w:rPr>
                <w:sz w:val="22"/>
                <w:szCs w:val="22"/>
              </w:rPr>
              <w:t xml:space="preserve">Постоянно </w:t>
            </w:r>
          </w:p>
        </w:tc>
        <w:tc>
          <w:tcPr>
            <w:tcW w:w="0" w:type="auto"/>
          </w:tcPr>
          <w:p w:rsidR="002C0DFE" w:rsidRPr="007D45F1" w:rsidRDefault="002C0DFE">
            <w:pPr>
              <w:pStyle w:val="Default"/>
              <w:rPr>
                <w:sz w:val="22"/>
                <w:szCs w:val="22"/>
              </w:rPr>
            </w:pPr>
            <w:r w:rsidRPr="007D45F1">
              <w:rPr>
                <w:sz w:val="22"/>
                <w:szCs w:val="22"/>
              </w:rPr>
              <w:t xml:space="preserve">ответственное лицо </w:t>
            </w:r>
          </w:p>
        </w:tc>
        <w:tc>
          <w:tcPr>
            <w:tcW w:w="6321" w:type="dxa"/>
          </w:tcPr>
          <w:p w:rsidR="002C0DFE" w:rsidRPr="007D45F1" w:rsidRDefault="002C0DFE">
            <w:pPr>
              <w:pStyle w:val="Default"/>
              <w:rPr>
                <w:sz w:val="22"/>
                <w:szCs w:val="22"/>
              </w:rPr>
            </w:pPr>
            <w:r w:rsidRPr="007D45F1">
              <w:rPr>
                <w:sz w:val="22"/>
                <w:szCs w:val="22"/>
              </w:rPr>
              <w:t xml:space="preserve">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 </w:t>
            </w:r>
          </w:p>
        </w:tc>
      </w:tr>
      <w:tr w:rsidR="002C0DFE" w:rsidRPr="007D45F1" w:rsidTr="002C0DFE">
        <w:trPr>
          <w:gridAfter w:val="3"/>
          <w:wAfter w:w="6432" w:type="dxa"/>
          <w:trHeight w:val="526"/>
        </w:trPr>
        <w:tc>
          <w:tcPr>
            <w:tcW w:w="0" w:type="auto"/>
          </w:tcPr>
          <w:p w:rsidR="002C0DFE" w:rsidRPr="007D45F1" w:rsidRDefault="002C0DFE">
            <w:pPr>
              <w:pStyle w:val="Default"/>
              <w:rPr>
                <w:sz w:val="22"/>
                <w:szCs w:val="22"/>
              </w:rPr>
            </w:pPr>
            <w:r w:rsidRPr="007D45F1">
              <w:rPr>
                <w:sz w:val="22"/>
                <w:szCs w:val="22"/>
              </w:rPr>
              <w:t xml:space="preserve">9. </w:t>
            </w:r>
          </w:p>
        </w:tc>
        <w:tc>
          <w:tcPr>
            <w:tcW w:w="0" w:type="auto"/>
          </w:tcPr>
          <w:p w:rsidR="002C0DFE" w:rsidRPr="007D45F1" w:rsidRDefault="002C0DFE">
            <w:pPr>
              <w:pStyle w:val="Default"/>
              <w:rPr>
                <w:sz w:val="22"/>
                <w:szCs w:val="22"/>
              </w:rPr>
            </w:pPr>
            <w:r w:rsidRPr="007D45F1">
              <w:rPr>
                <w:sz w:val="22"/>
                <w:szCs w:val="22"/>
              </w:rPr>
              <w:t xml:space="preserve">Инвентаризация информационных ресурсов с целью выявления присутствия и обработки в них ПД </w:t>
            </w:r>
          </w:p>
        </w:tc>
        <w:tc>
          <w:tcPr>
            <w:tcW w:w="0" w:type="auto"/>
          </w:tcPr>
          <w:p w:rsidR="002C0DFE" w:rsidRPr="007D45F1" w:rsidRDefault="002C0DFE">
            <w:pPr>
              <w:pStyle w:val="Default"/>
              <w:rPr>
                <w:sz w:val="22"/>
                <w:szCs w:val="22"/>
              </w:rPr>
            </w:pPr>
            <w:r w:rsidRPr="007D45F1">
              <w:rPr>
                <w:sz w:val="22"/>
                <w:szCs w:val="22"/>
              </w:rPr>
              <w:t xml:space="preserve">Раз в полгода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r>
      <w:tr w:rsidR="002C0DFE" w:rsidRPr="007D45F1" w:rsidTr="002C0DFE">
        <w:trPr>
          <w:gridAfter w:val="2"/>
          <w:wAfter w:w="111" w:type="dxa"/>
          <w:trHeight w:val="663"/>
        </w:trPr>
        <w:tc>
          <w:tcPr>
            <w:tcW w:w="0" w:type="auto"/>
          </w:tcPr>
          <w:p w:rsidR="002C0DFE" w:rsidRPr="007D45F1" w:rsidRDefault="002C0DFE">
            <w:pPr>
              <w:pStyle w:val="Default"/>
              <w:rPr>
                <w:sz w:val="22"/>
                <w:szCs w:val="22"/>
              </w:rPr>
            </w:pPr>
            <w:r w:rsidRPr="007D45F1">
              <w:rPr>
                <w:sz w:val="22"/>
                <w:szCs w:val="22"/>
              </w:rPr>
              <w:t xml:space="preserve">10. </w:t>
            </w:r>
          </w:p>
        </w:tc>
        <w:tc>
          <w:tcPr>
            <w:tcW w:w="0" w:type="auto"/>
          </w:tcPr>
          <w:p w:rsidR="002C0DFE" w:rsidRPr="007D45F1" w:rsidRDefault="002C0DFE">
            <w:pPr>
              <w:pStyle w:val="Default"/>
              <w:rPr>
                <w:sz w:val="22"/>
                <w:szCs w:val="22"/>
              </w:rPr>
            </w:pPr>
            <w:r w:rsidRPr="007D45F1">
              <w:rPr>
                <w:sz w:val="22"/>
                <w:szCs w:val="22"/>
              </w:rPr>
              <w:t xml:space="preserve">Классификация информационных систем персональных данных (ИСПД) </w:t>
            </w:r>
          </w:p>
        </w:tc>
        <w:tc>
          <w:tcPr>
            <w:tcW w:w="0" w:type="auto"/>
          </w:tcPr>
          <w:p w:rsidR="002C0DFE" w:rsidRPr="007D45F1" w:rsidRDefault="002C0DFE">
            <w:pPr>
              <w:pStyle w:val="Default"/>
              <w:rPr>
                <w:sz w:val="22"/>
                <w:szCs w:val="22"/>
              </w:rPr>
            </w:pPr>
            <w:r w:rsidRPr="007D45F1">
              <w:rPr>
                <w:sz w:val="22"/>
                <w:szCs w:val="22"/>
              </w:rPr>
              <w:t xml:space="preserve">При необходимости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c>
          <w:tcPr>
            <w:tcW w:w="0" w:type="auto"/>
          </w:tcPr>
          <w:p w:rsidR="002C0DFE" w:rsidRPr="007D45F1" w:rsidRDefault="002C0DFE">
            <w:pPr>
              <w:pStyle w:val="Default"/>
              <w:rPr>
                <w:sz w:val="22"/>
                <w:szCs w:val="22"/>
              </w:rPr>
            </w:pPr>
            <w:r w:rsidRPr="007D45F1">
              <w:rPr>
                <w:sz w:val="22"/>
                <w:szCs w:val="22"/>
              </w:rPr>
              <w:t xml:space="preserve">Классификация проводится при создании ИСПДн, при выявлении в информационных системах ПД, при изменении состава, структуры самой ИСПДн или технических особенностей ее построения (изменилось ПО, топология и прочее) </w:t>
            </w:r>
          </w:p>
        </w:tc>
      </w:tr>
      <w:tr w:rsidR="002C0DFE" w:rsidRPr="007D45F1" w:rsidTr="002C0DFE">
        <w:trPr>
          <w:gridAfter w:val="2"/>
          <w:wAfter w:w="111" w:type="dxa"/>
          <w:trHeight w:val="378"/>
        </w:trPr>
        <w:tc>
          <w:tcPr>
            <w:tcW w:w="0" w:type="auto"/>
          </w:tcPr>
          <w:p w:rsidR="002C0DFE" w:rsidRPr="007D45F1" w:rsidRDefault="002C0DFE">
            <w:pPr>
              <w:pStyle w:val="Default"/>
              <w:rPr>
                <w:sz w:val="22"/>
                <w:szCs w:val="22"/>
              </w:rPr>
            </w:pPr>
            <w:r w:rsidRPr="007D45F1">
              <w:rPr>
                <w:sz w:val="22"/>
                <w:szCs w:val="22"/>
              </w:rPr>
              <w:t xml:space="preserve">11. </w:t>
            </w:r>
          </w:p>
        </w:tc>
        <w:tc>
          <w:tcPr>
            <w:tcW w:w="0" w:type="auto"/>
          </w:tcPr>
          <w:p w:rsidR="002C0DFE" w:rsidRPr="007D45F1" w:rsidRDefault="002C0DFE">
            <w:pPr>
              <w:pStyle w:val="Default"/>
              <w:rPr>
                <w:sz w:val="22"/>
                <w:szCs w:val="22"/>
              </w:rPr>
            </w:pPr>
            <w:r w:rsidRPr="007D45F1">
              <w:rPr>
                <w:sz w:val="22"/>
                <w:szCs w:val="22"/>
              </w:rPr>
              <w:t xml:space="preserve">Выявление угроз безопасности и разработка моделей угроз и нарушителя </w:t>
            </w:r>
          </w:p>
        </w:tc>
        <w:tc>
          <w:tcPr>
            <w:tcW w:w="0" w:type="auto"/>
          </w:tcPr>
          <w:p w:rsidR="002C0DFE" w:rsidRPr="007D45F1" w:rsidRDefault="002C0DFE">
            <w:pPr>
              <w:pStyle w:val="Default"/>
              <w:rPr>
                <w:sz w:val="22"/>
                <w:szCs w:val="22"/>
              </w:rPr>
            </w:pPr>
            <w:r w:rsidRPr="007D45F1">
              <w:rPr>
                <w:sz w:val="22"/>
                <w:szCs w:val="22"/>
              </w:rPr>
              <w:t xml:space="preserve">При необходимости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c>
          <w:tcPr>
            <w:tcW w:w="0" w:type="auto"/>
          </w:tcPr>
          <w:p w:rsidR="002C0DFE" w:rsidRPr="007D45F1" w:rsidRDefault="002C0DFE">
            <w:pPr>
              <w:pStyle w:val="Default"/>
              <w:rPr>
                <w:sz w:val="22"/>
                <w:szCs w:val="22"/>
              </w:rPr>
            </w:pPr>
            <w:r w:rsidRPr="007D45F1">
              <w:rPr>
                <w:sz w:val="22"/>
                <w:szCs w:val="22"/>
              </w:rPr>
              <w:t xml:space="preserve">Разрабатывается при создании системы защиты ИСПДн </w:t>
            </w:r>
          </w:p>
        </w:tc>
      </w:tr>
      <w:tr w:rsidR="002C0DFE" w:rsidRPr="007D45F1" w:rsidTr="002C0DFE">
        <w:trPr>
          <w:gridAfter w:val="2"/>
          <w:wAfter w:w="106" w:type="dxa"/>
          <w:trHeight w:val="258"/>
        </w:trPr>
        <w:tc>
          <w:tcPr>
            <w:tcW w:w="0" w:type="auto"/>
          </w:tcPr>
          <w:p w:rsidR="002C0DFE" w:rsidRPr="007D45F1" w:rsidRDefault="002C0DFE">
            <w:pPr>
              <w:pStyle w:val="Default"/>
              <w:rPr>
                <w:sz w:val="22"/>
                <w:szCs w:val="22"/>
              </w:rPr>
            </w:pPr>
            <w:r w:rsidRPr="007D45F1">
              <w:rPr>
                <w:sz w:val="22"/>
                <w:szCs w:val="22"/>
              </w:rPr>
              <w:t xml:space="preserve">12. </w:t>
            </w:r>
          </w:p>
        </w:tc>
        <w:tc>
          <w:tcPr>
            <w:tcW w:w="0" w:type="auto"/>
          </w:tcPr>
          <w:p w:rsidR="002C0DFE" w:rsidRPr="007D45F1" w:rsidRDefault="002C0DFE">
            <w:pPr>
              <w:pStyle w:val="Default"/>
              <w:rPr>
                <w:sz w:val="22"/>
                <w:szCs w:val="22"/>
              </w:rPr>
            </w:pPr>
            <w:r w:rsidRPr="007D45F1">
              <w:rPr>
                <w:sz w:val="22"/>
                <w:szCs w:val="22"/>
              </w:rPr>
              <w:t xml:space="preserve">Эксплуатация ИСПД и контроль </w:t>
            </w:r>
          </w:p>
          <w:p w:rsidR="002C0DFE" w:rsidRPr="007D45F1" w:rsidRDefault="002C0DFE">
            <w:pPr>
              <w:pStyle w:val="Default"/>
              <w:rPr>
                <w:sz w:val="22"/>
                <w:szCs w:val="22"/>
              </w:rPr>
            </w:pPr>
            <w:r w:rsidRPr="007D45F1">
              <w:rPr>
                <w:sz w:val="22"/>
                <w:szCs w:val="22"/>
              </w:rPr>
              <w:t xml:space="preserve">безопасности ПД </w:t>
            </w:r>
          </w:p>
        </w:tc>
        <w:tc>
          <w:tcPr>
            <w:tcW w:w="0" w:type="auto"/>
          </w:tcPr>
          <w:p w:rsidR="002C0DFE" w:rsidRPr="007D45F1" w:rsidRDefault="002C0DFE">
            <w:pPr>
              <w:pStyle w:val="Default"/>
              <w:rPr>
                <w:sz w:val="22"/>
                <w:szCs w:val="22"/>
              </w:rPr>
            </w:pPr>
            <w:r w:rsidRPr="007D45F1">
              <w:rPr>
                <w:sz w:val="22"/>
                <w:szCs w:val="22"/>
              </w:rPr>
              <w:t xml:space="preserve">Постоянно </w:t>
            </w:r>
          </w:p>
        </w:tc>
        <w:tc>
          <w:tcPr>
            <w:tcW w:w="0" w:type="auto"/>
          </w:tcPr>
          <w:p w:rsidR="002C0DFE" w:rsidRPr="007D45F1" w:rsidRDefault="002C0DFE">
            <w:pPr>
              <w:pStyle w:val="Default"/>
              <w:rPr>
                <w:sz w:val="22"/>
                <w:szCs w:val="22"/>
              </w:rPr>
            </w:pPr>
            <w:r w:rsidRPr="007D45F1">
              <w:rPr>
                <w:sz w:val="22"/>
                <w:szCs w:val="22"/>
              </w:rPr>
              <w:t xml:space="preserve">заведующая, комиссия </w:t>
            </w:r>
          </w:p>
        </w:tc>
        <w:tc>
          <w:tcPr>
            <w:tcW w:w="6326" w:type="dxa"/>
            <w:tcBorders>
              <w:top w:val="single" w:sz="4" w:space="0" w:color="auto"/>
              <w:bottom w:val="single" w:sz="4" w:space="0" w:color="auto"/>
              <w:right w:val="single" w:sz="4" w:space="0" w:color="auto"/>
            </w:tcBorders>
            <w:shd w:val="clear" w:color="auto" w:fill="auto"/>
          </w:tcPr>
          <w:p w:rsidR="002C0DFE" w:rsidRPr="007D45F1" w:rsidRDefault="002C0DFE">
            <w:pPr>
              <w:rPr>
                <w:rFonts w:ascii="Times New Roman" w:hAnsi="Times New Roman" w:cs="Times New Roman"/>
              </w:rPr>
            </w:pPr>
          </w:p>
        </w:tc>
      </w:tr>
    </w:tbl>
    <w:p w:rsidR="00B26044" w:rsidRPr="007D45F1" w:rsidRDefault="00B26044" w:rsidP="00B26044">
      <w:pPr>
        <w:jc w:val="center"/>
        <w:rPr>
          <w:rFonts w:ascii="Times New Roman" w:hAnsi="Times New Roman" w:cs="Times New Roman"/>
        </w:rPr>
      </w:pPr>
    </w:p>
    <w:sectPr w:rsidR="00B26044" w:rsidRPr="007D45F1" w:rsidSect="00B2604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95" w:rsidRDefault="00071995" w:rsidP="007D45F1">
      <w:pPr>
        <w:spacing w:after="0" w:line="240" w:lineRule="auto"/>
      </w:pPr>
      <w:r>
        <w:separator/>
      </w:r>
    </w:p>
  </w:endnote>
  <w:endnote w:type="continuationSeparator" w:id="1">
    <w:p w:rsidR="00071995" w:rsidRDefault="00071995" w:rsidP="007D4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95" w:rsidRDefault="00071995" w:rsidP="007D45F1">
      <w:pPr>
        <w:spacing w:after="0" w:line="240" w:lineRule="auto"/>
      </w:pPr>
      <w:r>
        <w:separator/>
      </w:r>
    </w:p>
  </w:footnote>
  <w:footnote w:type="continuationSeparator" w:id="1">
    <w:p w:rsidR="00071995" w:rsidRDefault="00071995" w:rsidP="007D45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6044"/>
    <w:rsid w:val="00071995"/>
    <w:rsid w:val="001B0CF6"/>
    <w:rsid w:val="002C0DFE"/>
    <w:rsid w:val="00443A4B"/>
    <w:rsid w:val="00482AEA"/>
    <w:rsid w:val="007D45F1"/>
    <w:rsid w:val="00892FD7"/>
    <w:rsid w:val="00B26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0DF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7D45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45F1"/>
  </w:style>
  <w:style w:type="paragraph" w:styleId="a6">
    <w:name w:val="footer"/>
    <w:basedOn w:val="a"/>
    <w:link w:val="a7"/>
    <w:uiPriority w:val="99"/>
    <w:semiHidden/>
    <w:unhideWhenUsed/>
    <w:rsid w:val="007D45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45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6</cp:revision>
  <cp:lastPrinted>2016-05-24T06:58:00Z</cp:lastPrinted>
  <dcterms:created xsi:type="dcterms:W3CDTF">2016-05-23T12:15:00Z</dcterms:created>
  <dcterms:modified xsi:type="dcterms:W3CDTF">2016-05-24T06:59:00Z</dcterms:modified>
</cp:coreProperties>
</file>